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10"/>
          <w:szCs w:val="10"/>
        </w:rPr>
      </w:pPr>
    </w:p>
    <w:p>
      <w:pPr>
        <w:widowControl/>
        <w:adjustRightInd w:val="0"/>
        <w:snapToGrid w:val="0"/>
        <w:spacing w:after="156" w:afterLines="50" w:line="440" w:lineRule="atLeast"/>
        <w:jc w:val="center"/>
        <w:rPr>
          <w:rFonts w:eastAsia="方正小标宋简体"/>
          <w:b/>
          <w:bCs/>
          <w:kern w:val="0"/>
          <w:sz w:val="36"/>
          <w:szCs w:val="36"/>
        </w:rPr>
      </w:pPr>
      <w:r>
        <w:rPr>
          <w:rFonts w:eastAsia="方正小标宋简体"/>
          <w:b/>
          <w:bCs/>
          <w:kern w:val="0"/>
          <w:sz w:val="36"/>
          <w:szCs w:val="36"/>
        </w:rPr>
        <w:t>2023年浙江省职业院校技能大赛高职组</w:t>
      </w:r>
    </w:p>
    <w:p>
      <w:pPr>
        <w:widowControl/>
        <w:adjustRightInd w:val="0"/>
        <w:snapToGrid w:val="0"/>
        <w:spacing w:after="156" w:afterLines="50" w:line="440" w:lineRule="atLeast"/>
        <w:jc w:val="center"/>
        <w:rPr>
          <w:rFonts w:eastAsia="方正小标宋简体"/>
          <w:b/>
          <w:bCs/>
          <w:kern w:val="0"/>
          <w:sz w:val="36"/>
          <w:szCs w:val="36"/>
        </w:rPr>
      </w:pPr>
      <w:r>
        <w:rPr>
          <w:rFonts w:eastAsia="方正小标宋简体"/>
          <w:b/>
          <w:bCs/>
          <w:kern w:val="0"/>
          <w:sz w:val="36"/>
          <w:szCs w:val="36"/>
        </w:rPr>
        <w:t>“生物技术”赛项</w:t>
      </w:r>
    </w:p>
    <w:p>
      <w:pPr>
        <w:jc w:val="center"/>
        <w:rPr>
          <w:rFonts w:eastAsia="华文中宋"/>
          <w:sz w:val="10"/>
          <w:szCs w:val="10"/>
        </w:rPr>
      </w:pPr>
    </w:p>
    <w:p>
      <w:pPr>
        <w:jc w:val="center"/>
        <w:rPr>
          <w:rFonts w:eastAsia="华文中宋"/>
          <w:sz w:val="15"/>
          <w:szCs w:val="15"/>
        </w:rPr>
      </w:pPr>
    </w:p>
    <w:p>
      <w:pPr>
        <w:jc w:val="center"/>
        <w:rPr>
          <w:rFonts w:eastAsia="黑体"/>
          <w:sz w:val="60"/>
          <w:szCs w:val="60"/>
        </w:rPr>
      </w:pPr>
    </w:p>
    <w:p>
      <w:pPr>
        <w:jc w:val="center"/>
        <w:rPr>
          <w:rFonts w:eastAsia="黑体"/>
          <w:sz w:val="60"/>
          <w:szCs w:val="60"/>
        </w:rPr>
      </w:pPr>
    </w:p>
    <w:p>
      <w:pPr>
        <w:jc w:val="center"/>
        <w:rPr>
          <w:rFonts w:eastAsia="黑体"/>
          <w:sz w:val="60"/>
          <w:szCs w:val="60"/>
        </w:rPr>
      </w:pPr>
      <w:r>
        <w:rPr>
          <w:rFonts w:eastAsia="黑体"/>
          <w:sz w:val="60"/>
          <w:szCs w:val="60"/>
        </w:rPr>
        <w:t>竞赛规程</w:t>
      </w: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jc w:val="center"/>
        <w:rPr>
          <w:rFonts w:eastAsia="华文中宋"/>
          <w:sz w:val="44"/>
          <w:szCs w:val="44"/>
        </w:rPr>
      </w:pPr>
    </w:p>
    <w:p>
      <w:pPr>
        <w:spacing w:line="800" w:lineRule="exact"/>
        <w:jc w:val="center"/>
        <w:rPr>
          <w:rFonts w:eastAsia="华文中宋"/>
          <w:sz w:val="44"/>
          <w:szCs w:val="44"/>
        </w:rPr>
      </w:pPr>
    </w:p>
    <w:p>
      <w:pPr>
        <w:spacing w:line="800" w:lineRule="exact"/>
        <w:jc w:val="center"/>
        <w:rPr>
          <w:b/>
        </w:rPr>
      </w:pPr>
      <w:r>
        <w:rPr>
          <w:rFonts w:eastAsia="楷体_GB2312"/>
          <w:b/>
          <w:sz w:val="28"/>
          <w:szCs w:val="28"/>
        </w:rPr>
        <w:t>二</w:t>
      </w:r>
      <w:r>
        <w:rPr>
          <w:b/>
          <w:sz w:val="28"/>
          <w:szCs w:val="28"/>
        </w:rPr>
        <w:t>〇</w:t>
      </w:r>
      <w:r>
        <w:rPr>
          <w:rFonts w:eastAsia="楷体_GB2312"/>
          <w:b/>
          <w:sz w:val="28"/>
          <w:szCs w:val="28"/>
        </w:rPr>
        <w:t>二三年五月</w:t>
      </w:r>
    </w:p>
    <w:p>
      <w:pPr>
        <w:ind w:firstLine="600"/>
        <w:jc w:val="center"/>
        <w:rPr>
          <w:rFonts w:eastAsia="黑体"/>
          <w:b/>
          <w:color w:val="000000"/>
          <w:sz w:val="36"/>
          <w:szCs w:val="28"/>
        </w:rPr>
      </w:pPr>
    </w:p>
    <w:p>
      <w:pPr>
        <w:widowControl/>
        <w:adjustRightInd w:val="0"/>
        <w:snapToGrid w:val="0"/>
        <w:spacing w:after="156" w:afterLines="50" w:line="440" w:lineRule="atLeast"/>
        <w:jc w:val="center"/>
        <w:rPr>
          <w:rFonts w:eastAsia="方正小标宋简体"/>
          <w:b/>
          <w:bCs/>
          <w:kern w:val="0"/>
          <w:sz w:val="32"/>
          <w:szCs w:val="32"/>
        </w:rPr>
      </w:pPr>
      <w:bookmarkStart w:id="0" w:name="_GoBack"/>
      <w:r>
        <w:rPr>
          <w:rFonts w:eastAsia="方正小标宋简体"/>
          <w:b/>
          <w:bCs/>
          <w:kern w:val="0"/>
          <w:sz w:val="32"/>
          <w:szCs w:val="32"/>
        </w:rPr>
        <w:t>2023年浙江省职业院校技能大赛高职组</w:t>
      </w:r>
    </w:p>
    <w:p>
      <w:pPr>
        <w:widowControl/>
        <w:adjustRightInd w:val="0"/>
        <w:snapToGrid w:val="0"/>
        <w:spacing w:after="156" w:afterLines="50" w:line="440" w:lineRule="atLeast"/>
        <w:jc w:val="center"/>
        <w:rPr>
          <w:rFonts w:eastAsia="黑体"/>
          <w:b/>
          <w:color w:val="000000"/>
          <w:sz w:val="32"/>
          <w:szCs w:val="32"/>
        </w:rPr>
      </w:pPr>
      <w:r>
        <w:rPr>
          <w:rFonts w:eastAsia="方正小标宋简体"/>
          <w:b/>
          <w:bCs/>
          <w:kern w:val="0"/>
          <w:sz w:val="32"/>
          <w:szCs w:val="32"/>
        </w:rPr>
        <w:t>“生物技术”赛项</w:t>
      </w:r>
      <w:r>
        <w:rPr>
          <w:rFonts w:eastAsia="黑体"/>
          <w:b/>
          <w:color w:val="000000"/>
          <w:sz w:val="32"/>
          <w:szCs w:val="32"/>
        </w:rPr>
        <w:t>竞赛规程</w:t>
      </w:r>
    </w:p>
    <w:bookmarkEnd w:id="0"/>
    <w:p>
      <w:pPr>
        <w:spacing w:line="360" w:lineRule="auto"/>
        <w:ind w:firstLine="562" w:firstLineChars="200"/>
        <w:jc w:val="center"/>
        <w:rPr>
          <w:rFonts w:eastAsia="仿宋_GB2312"/>
          <w:b/>
          <w:color w:val="000000"/>
          <w:sz w:val="28"/>
          <w:szCs w:val="28"/>
        </w:rPr>
      </w:pPr>
    </w:p>
    <w:p>
      <w:pPr>
        <w:spacing w:line="360" w:lineRule="auto"/>
        <w:rPr>
          <w:rFonts w:eastAsia="仿宋_GB2312"/>
          <w:b/>
          <w:color w:val="000000"/>
          <w:sz w:val="28"/>
          <w:szCs w:val="28"/>
        </w:rPr>
      </w:pPr>
      <w:r>
        <w:rPr>
          <w:rFonts w:eastAsia="仿宋_GB2312"/>
          <w:b/>
          <w:color w:val="000000"/>
          <w:sz w:val="28"/>
          <w:szCs w:val="28"/>
        </w:rPr>
        <w:t xml:space="preserve">一、竞赛名称 </w:t>
      </w:r>
    </w:p>
    <w:p>
      <w:pPr>
        <w:spacing w:line="360" w:lineRule="auto"/>
        <w:ind w:firstLine="560" w:firstLineChars="200"/>
        <w:rPr>
          <w:rFonts w:eastAsia="仿宋_GB2312"/>
          <w:color w:val="000000"/>
          <w:sz w:val="28"/>
          <w:szCs w:val="28"/>
        </w:rPr>
      </w:pPr>
      <w:r>
        <w:rPr>
          <w:rFonts w:eastAsia="仿宋_GB2312"/>
          <w:color w:val="000000"/>
          <w:sz w:val="28"/>
          <w:szCs w:val="28"/>
        </w:rPr>
        <w:t>生物技术</w:t>
      </w:r>
    </w:p>
    <w:p>
      <w:pPr>
        <w:spacing w:line="360" w:lineRule="auto"/>
        <w:rPr>
          <w:rFonts w:eastAsia="仿宋_GB2312"/>
          <w:b/>
          <w:color w:val="000000"/>
          <w:sz w:val="28"/>
          <w:szCs w:val="28"/>
        </w:rPr>
      </w:pPr>
      <w:r>
        <w:rPr>
          <w:rFonts w:eastAsia="仿宋_GB2312"/>
          <w:b/>
          <w:color w:val="000000"/>
          <w:sz w:val="28"/>
          <w:szCs w:val="28"/>
        </w:rPr>
        <w:t>二、竞赛目的</w:t>
      </w:r>
    </w:p>
    <w:p>
      <w:pPr>
        <w:spacing w:line="360" w:lineRule="auto"/>
        <w:ind w:firstLine="560" w:firstLineChars="200"/>
        <w:rPr>
          <w:rFonts w:eastAsia="仿宋_GB2312"/>
          <w:color w:val="000000"/>
          <w:sz w:val="28"/>
          <w:szCs w:val="28"/>
        </w:rPr>
      </w:pPr>
      <w:r>
        <w:rPr>
          <w:rFonts w:eastAsia="仿宋_GB2312"/>
          <w:color w:val="000000"/>
          <w:sz w:val="28"/>
          <w:szCs w:val="28"/>
        </w:rPr>
        <w:t>为深入贯彻落实党中央关于职业教育工作的决策部署和习近平总书记有关重要指示精神，支撑党的二十大提出的“推动战略性新兴产业融合集群发展，构建新一代生物技术等一批新的增长引擎”，以及国家“十四五”规划“聚焦新一代生物技术等战略性新兴产业，加快关键核心技术创新应用，增强要素保障能力，培育壮大产业发展新动能。推动生物技术和信息技术融合创新，加快发展生物医药、生物育种、生物材料、生物能源等产业，做大做强生物经济”国家战略，为促进“产教融合、校企合作、协同育人”职业教育发展，充分发挥全国职业院校技能大赛对职业教育“树旗、导航、定标、催化”作用。</w:t>
      </w:r>
    </w:p>
    <w:p>
      <w:pPr>
        <w:spacing w:line="360" w:lineRule="auto"/>
        <w:ind w:firstLine="560" w:firstLineChars="200"/>
        <w:rPr>
          <w:rFonts w:eastAsia="仿宋_GB2312"/>
          <w:color w:val="000000"/>
          <w:sz w:val="28"/>
          <w:szCs w:val="28"/>
        </w:rPr>
      </w:pPr>
      <w:r>
        <w:rPr>
          <w:rFonts w:eastAsia="仿宋_GB2312"/>
          <w:color w:val="000000"/>
          <w:sz w:val="28"/>
          <w:szCs w:val="28"/>
        </w:rPr>
        <w:t xml:space="preserve">本赛项以生物技术教学成果、促进职业教育高质量发展为指导思想，对接生物医药、生物化工等行业出现的先进技术，选择微生物基本技术、微生物发酵技术、生物活性物质提取与鉴定技术等综合职业能力及职业素养为考察项目，通过竞赛营造崇尚技能氛围，培育选手工匠精神，推动院校合作交流，激发企业参与生物技术类专业人才培养的主动性和积极性，推进校企深度合作，实现生物技术类专业的教学内容与职业标准对接，引领职业院校专业建设与课程改革，助力生物技术职业教育高质量发展。 </w:t>
      </w:r>
    </w:p>
    <w:p>
      <w:pPr>
        <w:spacing w:line="360" w:lineRule="auto"/>
        <w:rPr>
          <w:rFonts w:eastAsia="仿宋_GB2312"/>
          <w:b/>
          <w:color w:val="000000"/>
          <w:sz w:val="28"/>
          <w:szCs w:val="28"/>
        </w:rPr>
      </w:pPr>
      <w:r>
        <w:rPr>
          <w:rFonts w:eastAsia="仿宋_GB2312"/>
          <w:b/>
          <w:color w:val="000000"/>
          <w:sz w:val="28"/>
          <w:szCs w:val="28"/>
        </w:rPr>
        <w:t>三、竞赛方式与内容</w:t>
      </w:r>
    </w:p>
    <w:p>
      <w:pPr>
        <w:spacing w:line="360" w:lineRule="auto"/>
        <w:rPr>
          <w:rFonts w:eastAsia="仿宋_GB2312"/>
          <w:b/>
          <w:sz w:val="28"/>
          <w:szCs w:val="28"/>
        </w:rPr>
      </w:pPr>
      <w:r>
        <w:rPr>
          <w:rFonts w:eastAsia="仿宋_GB2312"/>
          <w:b/>
          <w:color w:val="000000"/>
          <w:sz w:val="28"/>
          <w:szCs w:val="28"/>
        </w:rPr>
        <w:t>（一）</w:t>
      </w:r>
      <w:r>
        <w:rPr>
          <w:rFonts w:eastAsia="仿宋_GB2312"/>
          <w:b/>
          <w:sz w:val="28"/>
          <w:szCs w:val="28"/>
        </w:rPr>
        <w:t>竞赛方式</w:t>
      </w:r>
    </w:p>
    <w:p>
      <w:pPr>
        <w:spacing w:line="360" w:lineRule="auto"/>
        <w:ind w:firstLine="560" w:firstLineChars="200"/>
        <w:rPr>
          <w:rFonts w:eastAsia="仿宋_GB2312"/>
          <w:color w:val="000000"/>
          <w:sz w:val="28"/>
          <w:szCs w:val="28"/>
        </w:rPr>
      </w:pPr>
      <w:r>
        <w:rPr>
          <w:rFonts w:eastAsia="仿宋_GB2312"/>
          <w:color w:val="000000"/>
          <w:sz w:val="28"/>
          <w:szCs w:val="28"/>
        </w:rPr>
        <w:t>本次竞赛为团体赛。每个参赛队由2名参赛选手组成，每个参赛队可配2名指导教师。比赛期间，指导教师不得进入竞赛场地内，发现违规取消该队参赛资格。</w:t>
      </w:r>
    </w:p>
    <w:p>
      <w:pPr>
        <w:spacing w:line="360" w:lineRule="auto"/>
        <w:ind w:firstLine="560" w:firstLineChars="200"/>
        <w:rPr>
          <w:rFonts w:eastAsia="仿宋_GB2312"/>
          <w:color w:val="000000"/>
          <w:sz w:val="28"/>
          <w:szCs w:val="28"/>
        </w:rPr>
      </w:pPr>
      <w:r>
        <w:rPr>
          <w:rFonts w:eastAsia="仿宋_GB2312"/>
          <w:color w:val="000000"/>
          <w:sz w:val="28"/>
          <w:szCs w:val="28"/>
        </w:rPr>
        <w:t>按照2023年全国职业院校技能竞赛的指导思想和竞赛原则，本赛项主要考查选手生物技术类专业的基本理论知识和技能的掌握情况；考查选手整合知识和综合运用知识，分析问题和解决问题的能力；考查选手有关生物技术产品合成、生产、质量控制的操作技术；考查选手执行国家及行业标准规范、掌握科学的实验工作方法和实验技巧的能力。</w:t>
      </w:r>
    </w:p>
    <w:p>
      <w:pPr>
        <w:spacing w:line="360" w:lineRule="auto"/>
        <w:rPr>
          <w:rFonts w:eastAsia="仿宋_GB2312"/>
          <w:b/>
          <w:color w:val="000000"/>
          <w:sz w:val="28"/>
          <w:szCs w:val="28"/>
        </w:rPr>
      </w:pPr>
      <w:r>
        <w:rPr>
          <w:rFonts w:eastAsia="仿宋_GB2312"/>
          <w:b/>
          <w:color w:val="000000"/>
          <w:sz w:val="28"/>
          <w:szCs w:val="28"/>
        </w:rPr>
        <w:t>（二）竞赛内容</w:t>
      </w:r>
    </w:p>
    <w:p>
      <w:pPr>
        <w:spacing w:line="360" w:lineRule="auto"/>
        <w:ind w:firstLine="560" w:firstLineChars="200"/>
        <w:rPr>
          <w:rFonts w:eastAsia="仿宋_GB2312"/>
          <w:color w:val="000000"/>
          <w:sz w:val="28"/>
          <w:szCs w:val="28"/>
        </w:rPr>
      </w:pPr>
      <w:r>
        <w:rPr>
          <w:rFonts w:eastAsia="仿宋_GB2312"/>
          <w:color w:val="000000"/>
          <w:sz w:val="28"/>
          <w:szCs w:val="28"/>
        </w:rPr>
        <w:t>本赛项包含理论考核、实践操作、虚拟仿真操作三个模块，成绩权重分别为 15 %、60 % 及 25 %。</w:t>
      </w:r>
    </w:p>
    <w:p>
      <w:pPr>
        <w:spacing w:line="360" w:lineRule="auto"/>
        <w:ind w:firstLine="560" w:firstLineChars="200"/>
        <w:rPr>
          <w:rFonts w:eastAsia="仿宋_GB2312"/>
          <w:color w:val="000000"/>
          <w:sz w:val="28"/>
          <w:szCs w:val="28"/>
        </w:rPr>
      </w:pPr>
      <w:r>
        <w:rPr>
          <w:rFonts w:eastAsia="仿宋_GB2312"/>
          <w:color w:val="000000"/>
          <w:sz w:val="28"/>
          <w:szCs w:val="28"/>
        </w:rPr>
        <w:t xml:space="preserve">本赛项主要考查选手生物技术类专业的基本理论知识和技能的掌握情况；考查选手整合知识和综合运用知识，分析问题和解决问题的能力；考查选手有关生物技术产品合成、生产、质量控制的操作技术；考查选手执行国家及行业标准规范、掌握科学的实验工作方法和实验技巧的能力。 </w:t>
      </w:r>
    </w:p>
    <w:p>
      <w:pPr>
        <w:spacing w:line="360" w:lineRule="auto"/>
        <w:ind w:left="560"/>
        <w:rPr>
          <w:rFonts w:eastAsia="仿宋_GB2312"/>
          <w:b/>
          <w:bCs/>
          <w:color w:val="000000"/>
          <w:sz w:val="28"/>
          <w:szCs w:val="28"/>
        </w:rPr>
      </w:pPr>
      <w:r>
        <w:rPr>
          <w:rFonts w:eastAsia="仿宋_GB2312"/>
          <w:b/>
          <w:bCs/>
          <w:color w:val="000000"/>
          <w:sz w:val="28"/>
          <w:szCs w:val="28"/>
        </w:rPr>
        <w:t>1、模块一 理论考核</w:t>
      </w:r>
    </w:p>
    <w:p>
      <w:pPr>
        <w:spacing w:line="360" w:lineRule="auto"/>
        <w:ind w:firstLine="560" w:firstLineChars="200"/>
        <w:rPr>
          <w:rFonts w:eastAsia="仿宋_GB2312"/>
          <w:color w:val="000000"/>
          <w:sz w:val="28"/>
          <w:szCs w:val="28"/>
        </w:rPr>
      </w:pPr>
      <w:r>
        <w:rPr>
          <w:rFonts w:eastAsia="仿宋_GB2312"/>
          <w:color w:val="000000"/>
          <w:sz w:val="28"/>
          <w:szCs w:val="28"/>
        </w:rPr>
        <w:t xml:space="preserve">主要考查选手生物技术类专业的基本知识及基本技能，考查内容及题型参考国赛试题库。 </w:t>
      </w:r>
    </w:p>
    <w:p>
      <w:pPr>
        <w:spacing w:line="360" w:lineRule="auto"/>
        <w:ind w:firstLine="562" w:firstLineChars="200"/>
        <w:rPr>
          <w:rFonts w:eastAsia="仿宋_GB2312"/>
          <w:b/>
          <w:bCs/>
          <w:color w:val="000000"/>
          <w:sz w:val="28"/>
          <w:szCs w:val="28"/>
        </w:rPr>
      </w:pPr>
      <w:r>
        <w:rPr>
          <w:rFonts w:eastAsia="仿宋_GB2312"/>
          <w:b/>
          <w:bCs/>
          <w:color w:val="000000"/>
          <w:sz w:val="28"/>
          <w:szCs w:val="28"/>
        </w:rPr>
        <w:t>2、模块二 实践操作</w:t>
      </w:r>
    </w:p>
    <w:p>
      <w:pPr>
        <w:spacing w:line="360" w:lineRule="auto"/>
        <w:ind w:firstLine="560" w:firstLineChars="200"/>
        <w:rPr>
          <w:rFonts w:eastAsia="仿宋_GB2312"/>
          <w:color w:val="000000"/>
          <w:sz w:val="28"/>
          <w:szCs w:val="28"/>
        </w:rPr>
      </w:pPr>
      <w:r>
        <w:rPr>
          <w:rFonts w:eastAsia="仿宋_GB2312"/>
          <w:color w:val="000000"/>
          <w:sz w:val="28"/>
          <w:szCs w:val="28"/>
        </w:rPr>
        <w:t>依照《磁珠法 DNA 提取纯化试剂盒检测通则（GB/T 40171-2021）》、《核酸提取试剂盒（磁珠法）（YY/T 1717-2020）》、《核酸提取纯化方法评价通则（GB/T 37874-2019）》等，考察选手生物活性物质的提取与鉴定技能。</w:t>
      </w:r>
    </w:p>
    <w:p>
      <w:pPr>
        <w:spacing w:line="360" w:lineRule="auto"/>
        <w:ind w:firstLine="560" w:firstLineChars="200"/>
        <w:rPr>
          <w:rFonts w:eastAsia="仿宋_GB2312"/>
          <w:color w:val="000000"/>
          <w:sz w:val="28"/>
          <w:szCs w:val="28"/>
        </w:rPr>
      </w:pPr>
      <w:r>
        <w:rPr>
          <w:rFonts w:eastAsia="仿宋_GB2312"/>
          <w:color w:val="000000"/>
          <w:sz w:val="28"/>
          <w:szCs w:val="28"/>
        </w:rPr>
        <w:t>涵盖的职业典型工作任务包括实验前准备、细胞裂解、磁珠结合、杂质洗涤、核酸洗脱、上机检测、数据记录和分析、清洁与整理等。主要考查学生的专业核心能力与职业综合能力如下：安全防护，试剂、耗材及仪器的检查，移液器、涡旋混合器、核酸蛋白分析仪等仪器的规范使用，磁珠法的正确操作，原始数据记录，DNA浓度与纯度的检测等。</w:t>
      </w:r>
    </w:p>
    <w:p>
      <w:pPr>
        <w:spacing w:line="360" w:lineRule="auto"/>
        <w:ind w:firstLine="562" w:firstLineChars="200"/>
        <w:rPr>
          <w:rFonts w:eastAsia="仿宋_GB2312"/>
          <w:b/>
          <w:bCs/>
          <w:color w:val="000000"/>
          <w:sz w:val="28"/>
          <w:szCs w:val="28"/>
        </w:rPr>
      </w:pPr>
      <w:r>
        <w:rPr>
          <w:rFonts w:eastAsia="仿宋_GB2312"/>
          <w:b/>
          <w:bCs/>
          <w:color w:val="000000"/>
          <w:sz w:val="28"/>
          <w:szCs w:val="28"/>
        </w:rPr>
        <w:t>3、模块三 虚拟仿真操作</w:t>
      </w:r>
    </w:p>
    <w:p>
      <w:pPr>
        <w:spacing w:line="360" w:lineRule="auto"/>
        <w:ind w:firstLine="560" w:firstLineChars="200"/>
        <w:rPr>
          <w:rFonts w:eastAsia="仿宋_GB2312"/>
          <w:color w:val="000000"/>
          <w:sz w:val="28"/>
          <w:szCs w:val="28"/>
        </w:rPr>
      </w:pPr>
      <w:r>
        <w:rPr>
          <w:rFonts w:eastAsia="仿宋_GB2312"/>
          <w:color w:val="000000"/>
          <w:sz w:val="28"/>
          <w:szCs w:val="28"/>
        </w:rPr>
        <w:t>依照《药品生产质量管理规范（GMP）》 、《制药机械(设备)实施药品生产质量管理规范的通则（GB28670-2012）》、《制药机械(设备)实施药品生产质量管理规范的通则（GB28670-2012）》等，考察选手生物发酵虚拟仿真操作技能。</w:t>
      </w:r>
    </w:p>
    <w:p>
      <w:pPr>
        <w:spacing w:line="360" w:lineRule="auto"/>
        <w:ind w:firstLine="560" w:firstLineChars="200"/>
        <w:rPr>
          <w:rFonts w:eastAsia="仿宋_GB2312"/>
          <w:color w:val="000000"/>
          <w:sz w:val="28"/>
          <w:szCs w:val="28"/>
        </w:rPr>
      </w:pPr>
      <w:r>
        <w:rPr>
          <w:rFonts w:eastAsia="仿宋_GB2312"/>
          <w:color w:val="000000"/>
          <w:sz w:val="28"/>
          <w:szCs w:val="28"/>
        </w:rPr>
        <w:t>涵盖的职业典型工作任务包括：配液罐操作，连消系统，种子罐操作，发酵罐操作、质量控制、数据记录与处理，CIP的清洗等。主要考查学生的专业核心能力与职业综合能力如下：培养基制备，培养基连续灭菌，发酵罐的空消，种子罐的实消，种子罐与发酵罐交接检查，接种、发酵过程质量控制，CIP清洗，数据记录与处理等。</w:t>
      </w:r>
    </w:p>
    <w:tbl>
      <w:tblPr>
        <w:tblStyle w:val="1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7"/>
        <w:gridCol w:w="3818"/>
        <w:gridCol w:w="917"/>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模块</w:t>
            </w:r>
          </w:p>
        </w:tc>
        <w:tc>
          <w:tcPr>
            <w:tcW w:w="3828"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主要内容</w:t>
            </w:r>
          </w:p>
        </w:tc>
        <w:tc>
          <w:tcPr>
            <w:tcW w:w="918"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比赛时长</w:t>
            </w:r>
          </w:p>
        </w:tc>
        <w:tc>
          <w:tcPr>
            <w:tcW w:w="783"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模块一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理论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考核</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生物技术类专业的基本知识及技能</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生物制药、生物化学与分子生物学、微生物与育种、发酵技术、基因工程技术、细胞工程技术、生物安全等课程的基本知识与技能</w:t>
            </w:r>
          </w:p>
        </w:tc>
        <w:tc>
          <w:tcPr>
            <w:tcW w:w="91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30 </w:t>
            </w:r>
          </w:p>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分钟 </w:t>
            </w: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模块二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实践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操作</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生物活性物质的提取与鉴定</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磁珠法提取鸡血基因组DNA 操作； DNA纯度与浓度分析；清洁与整理；结果报告等</w:t>
            </w:r>
          </w:p>
        </w:tc>
        <w:tc>
          <w:tcPr>
            <w:tcW w:w="91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100 分钟</w:t>
            </w: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模块三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虚拟</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仿真</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操作</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生物发酵仿真软件操作</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通过仿真软件，完成青霉素发酵生产的配液罐操作、连消系统、种子罐操作、发酵罐操作、质量控制、数据记录与处理、CIP的清洗等</w:t>
            </w:r>
          </w:p>
        </w:tc>
        <w:tc>
          <w:tcPr>
            <w:tcW w:w="91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60 分钟 </w:t>
            </w:r>
          </w:p>
          <w:p>
            <w:pPr>
              <w:widowControl/>
              <w:jc w:val="left"/>
              <w:rPr>
                <w:rFonts w:ascii="Times New Roman" w:hAnsi="Times New Roman" w:eastAsia="仿宋_GB2312" w:cs="Times New Roman"/>
                <w:color w:val="000000"/>
                <w:sz w:val="28"/>
                <w:szCs w:val="28"/>
              </w:rPr>
            </w:pP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25 %</w:t>
            </w:r>
          </w:p>
        </w:tc>
      </w:tr>
    </w:tbl>
    <w:p>
      <w:pPr>
        <w:spacing w:line="360" w:lineRule="auto"/>
        <w:ind w:firstLine="560" w:firstLineChars="200"/>
        <w:rPr>
          <w:rFonts w:eastAsia="仿宋_GB2312"/>
          <w:color w:val="000000"/>
          <w:sz w:val="28"/>
          <w:szCs w:val="28"/>
        </w:rPr>
      </w:pPr>
    </w:p>
    <w:p>
      <w:pPr>
        <w:spacing w:before="156" w:beforeLines="50" w:after="156" w:afterLines="50" w:line="360" w:lineRule="auto"/>
        <w:rPr>
          <w:rFonts w:eastAsia="仿宋_GB2312"/>
          <w:b/>
          <w:color w:val="000000"/>
          <w:sz w:val="28"/>
          <w:szCs w:val="28"/>
        </w:rPr>
      </w:pPr>
      <w:r>
        <w:rPr>
          <w:rFonts w:eastAsia="仿宋_GB2312"/>
          <w:b/>
          <w:color w:val="000000"/>
          <w:sz w:val="28"/>
          <w:szCs w:val="28"/>
        </w:rPr>
        <w:t>四、竞赛规则</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限于竞赛场地设备等条件的制约，实践操作项目的竞赛需要分批进行，选手参加考试的批次和竞赛工位将通过抽签决定。</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参赛选手必须带身份证和学生证，并佩带参赛证件，提前30分钟到候考室检录，在引导员带领下至相应赛场，按签号指定的位置就位，完成相应竞赛任务。只有等比赛正式开始后，方可进行操作。</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参赛选手进入赛场，不允许携带任何书籍和其他纸质资料（相关技术资料由组委会提供），不允许携带通讯工具和存储设备。操作考核项目实验服、操作规程、数据记录纸、签字笔等将由组委会统一提供，现场提供的物品各参赛队可以根据竞赛需要自行选择使用，各参赛队可在竞赛组委会允许的情况下自备特定的实验用具。</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开赛后迟到者，取消参赛资格。选手在竞赛过程中，无论遇到任何问题，请举手向监考人员示意，不得擅自离开考位。</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在竞赛规定时间结束时各参赛队应立即停止答题或操作，不得以任何理由拖延竞赛时间。参赛队欲提前结束比赛，应向现场裁判员举手示意并记录比赛终止时间，比赛终止后，不得再进行任何与比赛有关的操作。</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竞赛操作结束时，各参赛队要按照大赛要求和赛题要求提交竞赛材料，按照现场考试要求的名字进行命名，如不符合命名规则，体现单位信息与编号信息的，该队竞赛成绩将被取消。</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竞赛期间，除竞赛组委会、裁判员、赛场工作人员外，其余人员一律不得随意进入竞赛场地。</w:t>
      </w:r>
    </w:p>
    <w:p>
      <w:pPr>
        <w:spacing w:before="156" w:beforeLines="50" w:after="156" w:afterLines="50" w:line="360" w:lineRule="auto"/>
        <w:rPr>
          <w:rFonts w:eastAsia="仿宋_GB2312"/>
          <w:b/>
          <w:color w:val="000000"/>
          <w:sz w:val="28"/>
          <w:szCs w:val="28"/>
        </w:rPr>
      </w:pPr>
      <w:r>
        <w:rPr>
          <w:rFonts w:eastAsia="仿宋_GB2312"/>
          <w:b/>
          <w:color w:val="000000"/>
          <w:sz w:val="28"/>
          <w:szCs w:val="28"/>
        </w:rPr>
        <w:t>五、评分方法及奖项设定</w:t>
      </w:r>
    </w:p>
    <w:p>
      <w:pPr>
        <w:spacing w:line="360" w:lineRule="auto"/>
        <w:rPr>
          <w:rFonts w:eastAsia="仿宋_GB2312"/>
          <w:b/>
          <w:color w:val="000000"/>
          <w:sz w:val="28"/>
          <w:szCs w:val="28"/>
        </w:rPr>
      </w:pPr>
      <w:r>
        <w:rPr>
          <w:rFonts w:eastAsia="仿宋_GB2312"/>
          <w:b/>
          <w:color w:val="000000"/>
          <w:sz w:val="28"/>
          <w:szCs w:val="28"/>
        </w:rPr>
        <w:t>（一）评分方法</w:t>
      </w:r>
    </w:p>
    <w:p>
      <w:pPr>
        <w:spacing w:line="360" w:lineRule="auto"/>
        <w:ind w:firstLine="560" w:firstLineChars="200"/>
        <w:rPr>
          <w:rFonts w:eastAsia="仿宋_GB2312"/>
          <w:color w:val="000000"/>
          <w:sz w:val="28"/>
          <w:szCs w:val="28"/>
        </w:rPr>
      </w:pPr>
      <w:r>
        <w:rPr>
          <w:rFonts w:eastAsia="仿宋_GB2312"/>
          <w:color w:val="000000"/>
          <w:sz w:val="28"/>
          <w:szCs w:val="28"/>
        </w:rPr>
        <w:t>竞赛评分严格按照公平、公正、公开的原则。在竞赛过程中，参赛选手如有不服从裁判判决、扰乱赛场秩序、舞弊等不文明行为，由裁判长按照规定扣减相应分数，情节严重的取消竞赛资格，竞赛成绩记0分。</w:t>
      </w:r>
    </w:p>
    <w:p>
      <w:pPr>
        <w:spacing w:line="360" w:lineRule="auto"/>
        <w:ind w:left="560"/>
        <w:rPr>
          <w:rFonts w:eastAsia="仿宋_GB2312"/>
          <w:b/>
          <w:bCs/>
          <w:color w:val="000000"/>
          <w:sz w:val="28"/>
          <w:szCs w:val="28"/>
        </w:rPr>
      </w:pPr>
      <w:r>
        <w:rPr>
          <w:rFonts w:eastAsia="仿宋_GB2312"/>
          <w:b/>
          <w:bCs/>
          <w:color w:val="000000"/>
          <w:sz w:val="28"/>
          <w:szCs w:val="28"/>
        </w:rPr>
        <w:t>1、模块一 理论考核</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2名选手分别独立参加理论考核。包括单项选择题 40 题，每题 1.5 分，计 60 分；多项选择题 10 题，每题 3 分，计 30 分；是非题 10 题，每题 1 分，计10 分，共计 100 分；取2名选手平均成绩，按15 % 权重计入团队总分。</w:t>
      </w:r>
    </w:p>
    <w:p>
      <w:pPr>
        <w:spacing w:line="360" w:lineRule="auto"/>
        <w:ind w:firstLine="562" w:firstLineChars="200"/>
        <w:rPr>
          <w:rFonts w:eastAsia="仿宋_GB2312"/>
          <w:b/>
          <w:bCs/>
          <w:color w:val="000000"/>
          <w:sz w:val="28"/>
          <w:szCs w:val="28"/>
        </w:rPr>
      </w:pPr>
      <w:r>
        <w:rPr>
          <w:rFonts w:eastAsia="仿宋_GB2312"/>
          <w:b/>
          <w:bCs/>
          <w:color w:val="000000"/>
          <w:sz w:val="28"/>
          <w:szCs w:val="28"/>
        </w:rPr>
        <w:t>2、模块二 实践操作</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2名选手分别独立完成“鸡血基因组 DNA 提取与鉴定”实践操作，包括实验前准备 5 分，实验操作 55 分，上机检测 15 分，实验记录、数据分析和结果报告 20 分，清洁与整理 5 分，共计 100 分；取 2 名选手平均成绩，按60 % 权重计入团队总分。</w:t>
      </w:r>
    </w:p>
    <w:p>
      <w:pPr>
        <w:spacing w:line="360" w:lineRule="auto"/>
        <w:ind w:firstLine="562" w:firstLineChars="200"/>
        <w:rPr>
          <w:rFonts w:eastAsia="仿宋_GB2312"/>
          <w:b/>
          <w:bCs/>
          <w:color w:val="000000"/>
          <w:sz w:val="28"/>
          <w:szCs w:val="28"/>
        </w:rPr>
      </w:pPr>
      <w:r>
        <w:rPr>
          <w:rFonts w:eastAsia="仿宋_GB2312"/>
          <w:b/>
          <w:bCs/>
          <w:color w:val="000000"/>
          <w:sz w:val="28"/>
          <w:szCs w:val="28"/>
        </w:rPr>
        <w:t>3、模块三 虚拟仿真操作</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2名选手分别独立完成生物发酵虚拟仿真操作，包括配液罐操作、连消系统</w:t>
      </w:r>
      <w:r>
        <w:rPr>
          <w:rFonts w:hint="eastAsia" w:eastAsia="仿宋_GB2312"/>
          <w:color w:val="000000"/>
          <w:sz w:val="28"/>
          <w:szCs w:val="28"/>
        </w:rPr>
        <w:t>15</w:t>
      </w:r>
      <w:r>
        <w:rPr>
          <w:rFonts w:eastAsia="仿宋_GB2312"/>
          <w:color w:val="000000"/>
          <w:sz w:val="28"/>
          <w:szCs w:val="28"/>
        </w:rPr>
        <w:t>分、种子罐操作20分、发酵罐操作</w:t>
      </w:r>
      <w:r>
        <w:rPr>
          <w:rFonts w:hint="eastAsia" w:eastAsia="仿宋_GB2312"/>
          <w:color w:val="000000"/>
          <w:sz w:val="28"/>
          <w:szCs w:val="28"/>
        </w:rPr>
        <w:t>35</w:t>
      </w:r>
      <w:r>
        <w:rPr>
          <w:rFonts w:eastAsia="仿宋_GB2312"/>
          <w:color w:val="000000"/>
          <w:sz w:val="28"/>
          <w:szCs w:val="28"/>
        </w:rPr>
        <w:t>分、质量控制</w:t>
      </w:r>
      <w:r>
        <w:rPr>
          <w:rFonts w:hint="eastAsia" w:eastAsia="仿宋_GB2312"/>
          <w:color w:val="000000"/>
          <w:sz w:val="28"/>
          <w:szCs w:val="28"/>
        </w:rPr>
        <w:t>15</w:t>
      </w:r>
      <w:r>
        <w:rPr>
          <w:rFonts w:eastAsia="仿宋_GB2312"/>
          <w:color w:val="000000"/>
          <w:sz w:val="28"/>
          <w:szCs w:val="28"/>
        </w:rPr>
        <w:t>分、数据记录与处理</w:t>
      </w:r>
      <w:r>
        <w:rPr>
          <w:rFonts w:hint="eastAsia" w:eastAsia="仿宋_GB2312"/>
          <w:color w:val="000000"/>
          <w:sz w:val="28"/>
          <w:szCs w:val="28"/>
        </w:rPr>
        <w:t>以及整理15</w:t>
      </w:r>
      <w:r>
        <w:rPr>
          <w:rFonts w:eastAsia="仿宋_GB2312"/>
          <w:color w:val="000000"/>
          <w:sz w:val="28"/>
          <w:szCs w:val="28"/>
        </w:rPr>
        <w:t>分，</w:t>
      </w:r>
      <w:r>
        <w:rPr>
          <w:rFonts w:eastAsia="仿宋_GB2312"/>
          <w:sz w:val="28"/>
          <w:szCs w:val="28"/>
        </w:rPr>
        <w:t>满分100分；取 2 名选手平均成绩，按25 % 权重计入总分。</w:t>
      </w:r>
    </w:p>
    <w:p>
      <w:pPr>
        <w:spacing w:line="360" w:lineRule="auto"/>
        <w:rPr>
          <w:rFonts w:eastAsia="仿宋_GB2312"/>
          <w:color w:val="000000"/>
          <w:sz w:val="28"/>
          <w:szCs w:val="28"/>
        </w:rPr>
      </w:pPr>
      <w:r>
        <w:rPr>
          <w:rFonts w:eastAsia="仿宋_GB2312"/>
          <w:b/>
          <w:color w:val="000000"/>
          <w:sz w:val="28"/>
          <w:szCs w:val="28"/>
        </w:rPr>
        <w:t>（二）奖项设定</w:t>
      </w:r>
    </w:p>
    <w:p>
      <w:pPr>
        <w:pStyle w:val="21"/>
        <w:snapToGrid w:val="0"/>
        <w:spacing w:line="360" w:lineRule="auto"/>
        <w:ind w:firstLine="560"/>
        <w:jc w:val="left"/>
        <w:rPr>
          <w:rFonts w:eastAsia="仿宋_GB2312"/>
          <w:sz w:val="28"/>
          <w:szCs w:val="28"/>
        </w:rPr>
      </w:pPr>
      <w:r>
        <w:rPr>
          <w:rFonts w:eastAsia="仿宋_GB2312"/>
          <w:sz w:val="28"/>
          <w:szCs w:val="28"/>
        </w:rPr>
        <w:t>竞赛设一等奖、二等奖、三等奖，获奖比例分别为参赛队伍的10%、20%和30%。</w:t>
      </w:r>
    </w:p>
    <w:p>
      <w:pPr>
        <w:spacing w:line="360" w:lineRule="auto"/>
        <w:rPr>
          <w:rFonts w:eastAsia="仿宋_GB2312"/>
          <w:b/>
          <w:color w:val="000000"/>
          <w:sz w:val="28"/>
          <w:szCs w:val="28"/>
        </w:rPr>
      </w:pPr>
      <w:r>
        <w:rPr>
          <w:rFonts w:eastAsia="仿宋_GB2312"/>
          <w:b/>
          <w:color w:val="000000"/>
          <w:sz w:val="28"/>
          <w:szCs w:val="28"/>
        </w:rPr>
        <w:t>六、申诉与仲裁</w:t>
      </w:r>
    </w:p>
    <w:p>
      <w:pPr>
        <w:pStyle w:val="21"/>
        <w:snapToGrid w:val="0"/>
        <w:spacing w:line="360" w:lineRule="auto"/>
        <w:ind w:firstLine="0" w:firstLineChars="0"/>
        <w:jc w:val="left"/>
        <w:rPr>
          <w:rFonts w:eastAsia="仿宋_GB2312"/>
          <w:b/>
          <w:sz w:val="28"/>
          <w:szCs w:val="28"/>
        </w:rPr>
      </w:pPr>
      <w:r>
        <w:rPr>
          <w:rFonts w:eastAsia="仿宋_GB2312"/>
          <w:b/>
          <w:sz w:val="28"/>
          <w:szCs w:val="28"/>
        </w:rPr>
        <w:t>（一）申诉</w:t>
      </w:r>
    </w:p>
    <w:p>
      <w:pPr>
        <w:pStyle w:val="21"/>
        <w:snapToGrid w:val="0"/>
        <w:spacing w:line="360" w:lineRule="auto"/>
        <w:ind w:firstLine="560"/>
        <w:jc w:val="left"/>
        <w:rPr>
          <w:rFonts w:eastAsia="仿宋_GB2312"/>
          <w:sz w:val="28"/>
          <w:szCs w:val="28"/>
        </w:rPr>
      </w:pPr>
      <w:r>
        <w:rPr>
          <w:rFonts w:eastAsia="仿宋_GB2312"/>
          <w:sz w:val="28"/>
          <w:szCs w:val="28"/>
        </w:rPr>
        <w:t xml:space="preserve">1.参赛队对不符合竞赛规定的设备、工具、软件，有失公正的评判、奖励，以及对工作人员的违规行为等，均可提出申诉。 </w:t>
      </w:r>
    </w:p>
    <w:p>
      <w:pPr>
        <w:pStyle w:val="21"/>
        <w:snapToGrid w:val="0"/>
        <w:spacing w:line="360" w:lineRule="auto"/>
        <w:ind w:firstLine="560"/>
        <w:jc w:val="left"/>
        <w:rPr>
          <w:rFonts w:eastAsia="仿宋_GB2312"/>
          <w:sz w:val="28"/>
          <w:szCs w:val="28"/>
        </w:rPr>
      </w:pPr>
      <w:r>
        <w:rPr>
          <w:rFonts w:eastAsia="仿宋_GB2312"/>
          <w:sz w:val="28"/>
          <w:szCs w:val="28"/>
        </w:rPr>
        <w:t>2.申诉应在竞赛结束后2小时内提出，超过时效将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pStyle w:val="21"/>
        <w:snapToGrid w:val="0"/>
        <w:spacing w:line="360" w:lineRule="auto"/>
        <w:ind w:firstLine="560"/>
        <w:jc w:val="left"/>
        <w:rPr>
          <w:rFonts w:eastAsia="仿宋_GB2312"/>
          <w:sz w:val="28"/>
          <w:szCs w:val="28"/>
        </w:rPr>
      </w:pPr>
      <w:r>
        <w:rPr>
          <w:rFonts w:eastAsia="仿宋_GB2312"/>
          <w:sz w:val="28"/>
          <w:szCs w:val="28"/>
        </w:rPr>
        <w:t>3.赛项仲裁工作组收到申诉报告后，应根据申诉事由进行审查，6小时内书面通知申诉方，告知申诉处理结果。如受理申诉，要通知申诉方举办听证会的时间和地点；如不受理申诉，要说明理由。</w:t>
      </w:r>
    </w:p>
    <w:p>
      <w:pPr>
        <w:pStyle w:val="21"/>
        <w:snapToGrid w:val="0"/>
        <w:spacing w:line="360" w:lineRule="auto"/>
        <w:ind w:firstLine="560"/>
        <w:jc w:val="left"/>
        <w:rPr>
          <w:rFonts w:eastAsia="仿宋_GB2312"/>
          <w:sz w:val="28"/>
          <w:szCs w:val="28"/>
        </w:rPr>
      </w:pPr>
      <w:r>
        <w:rPr>
          <w:rFonts w:eastAsia="仿宋_GB2312"/>
          <w:sz w:val="28"/>
          <w:szCs w:val="28"/>
        </w:rPr>
        <w:t>4.申诉人不得无故拒不接受处理结果，不允许采取过激行为刁难、攻击工作人员，否则视为放弃申诉。申诉人不满意赛项仲裁工作组的处理结果的，可向大赛赛区仲裁委员会提出复议申请。</w:t>
      </w:r>
    </w:p>
    <w:p>
      <w:pPr>
        <w:pStyle w:val="21"/>
        <w:snapToGrid w:val="0"/>
        <w:spacing w:line="360" w:lineRule="auto"/>
        <w:ind w:firstLine="0" w:firstLineChars="0"/>
        <w:jc w:val="left"/>
        <w:rPr>
          <w:rFonts w:eastAsia="仿宋_GB2312"/>
          <w:b/>
          <w:sz w:val="28"/>
          <w:szCs w:val="28"/>
        </w:rPr>
      </w:pPr>
      <w:r>
        <w:rPr>
          <w:rFonts w:eastAsia="仿宋_GB2312"/>
          <w:b/>
          <w:sz w:val="28"/>
          <w:szCs w:val="28"/>
        </w:rPr>
        <w:t>（二）仲裁</w:t>
      </w:r>
    </w:p>
    <w:p>
      <w:pPr>
        <w:widowControl/>
        <w:snapToGrid w:val="0"/>
        <w:spacing w:line="360" w:lineRule="auto"/>
        <w:ind w:firstLine="560" w:firstLineChars="200"/>
        <w:rPr>
          <w:rFonts w:eastAsia="仿宋_GB2312"/>
          <w:color w:val="000000"/>
          <w:kern w:val="0"/>
          <w:sz w:val="28"/>
          <w:szCs w:val="28"/>
        </w:rPr>
      </w:pPr>
      <w:r>
        <w:rPr>
          <w:rFonts w:eastAsia="仿宋_GB2312"/>
          <w:color w:val="000000"/>
          <w:kern w:val="0"/>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p>
    <w:p>
      <w:pPr>
        <w:widowControl/>
        <w:jc w:val="left"/>
        <w:rPr>
          <w:rFonts w:eastAsia="仿宋_GB2312"/>
          <w:color w:val="000000"/>
          <w:kern w:val="0"/>
          <w:sz w:val="28"/>
          <w:szCs w:val="28"/>
        </w:rPr>
      </w:pPr>
      <w:r>
        <w:rPr>
          <w:rFonts w:eastAsia="仿宋_GB2312"/>
          <w:color w:val="000000"/>
          <w:kern w:val="0"/>
          <w:sz w:val="28"/>
          <w:szCs w:val="28"/>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2023年浙江省职业院校技能大赛高职组</w:t>
      </w:r>
    </w:p>
    <w:p>
      <w:pPr>
        <w:widowControl/>
        <w:adjustRightInd w:val="0"/>
        <w:snapToGrid w:val="0"/>
        <w:spacing w:after="156" w:afterLines="50" w:line="440" w:lineRule="atLeast"/>
        <w:jc w:val="center"/>
        <w:rPr>
          <w:rFonts w:eastAsia="黑体"/>
          <w:b/>
          <w:sz w:val="28"/>
          <w:szCs w:val="28"/>
        </w:rPr>
      </w:pPr>
      <w:r>
        <w:rPr>
          <w:rFonts w:eastAsia="方正小标宋简体"/>
          <w:b/>
          <w:bCs/>
          <w:kern w:val="0"/>
          <w:sz w:val="28"/>
          <w:szCs w:val="28"/>
        </w:rPr>
        <w:t>“生物技术”赛项</w:t>
      </w:r>
      <w:r>
        <w:rPr>
          <w:rFonts w:eastAsia="黑体"/>
          <w:b/>
          <w:sz w:val="28"/>
          <w:szCs w:val="28"/>
        </w:rPr>
        <w:t>技术规范</w:t>
      </w:r>
    </w:p>
    <w:p>
      <w:pPr>
        <w:tabs>
          <w:tab w:val="left" w:pos="420"/>
        </w:tabs>
        <w:spacing w:line="360" w:lineRule="auto"/>
        <w:rPr>
          <w:rFonts w:eastAsia="仿宋_GB2312"/>
          <w:b/>
          <w:sz w:val="28"/>
          <w:szCs w:val="28"/>
        </w:rPr>
      </w:pPr>
      <w:r>
        <w:rPr>
          <w:rFonts w:eastAsia="仿宋_GB2312"/>
          <w:b/>
          <w:sz w:val="28"/>
          <w:szCs w:val="28"/>
        </w:rPr>
        <w:t>一、竞赛项目行业、职业技术标准</w:t>
      </w:r>
    </w:p>
    <w:p>
      <w:pPr>
        <w:tabs>
          <w:tab w:val="left" w:pos="420"/>
        </w:tabs>
        <w:spacing w:line="360" w:lineRule="auto"/>
        <w:rPr>
          <w:rFonts w:eastAsia="仿宋_GB2312"/>
          <w:color w:val="000000"/>
          <w:kern w:val="0"/>
          <w:sz w:val="28"/>
          <w:szCs w:val="28"/>
        </w:rPr>
      </w:pPr>
      <w:r>
        <w:rPr>
          <w:rFonts w:eastAsia="仿宋_GB2312"/>
          <w:sz w:val="28"/>
          <w:szCs w:val="28"/>
        </w:rPr>
        <w:t>    本赛项遵循的标准与规范如下。</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r>
              <w:rPr>
                <w:rFonts w:eastAsia="仿宋_GB2312"/>
                <w:b/>
                <w:color w:val="000000"/>
                <w:kern w:val="0"/>
                <w:sz w:val="28"/>
                <w:szCs w:val="28"/>
              </w:rPr>
              <w:t>序号</w:t>
            </w:r>
          </w:p>
        </w:tc>
        <w:tc>
          <w:tcPr>
            <w:tcW w:w="269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r>
              <w:rPr>
                <w:rFonts w:eastAsia="仿宋_GB2312"/>
                <w:b/>
                <w:color w:val="000000"/>
                <w:kern w:val="0"/>
                <w:sz w:val="28"/>
                <w:szCs w:val="28"/>
              </w:rPr>
              <w:t>标准号/版本</w:t>
            </w:r>
          </w:p>
        </w:tc>
        <w:tc>
          <w:tcPr>
            <w:tcW w:w="637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r>
              <w:rPr>
                <w:rFonts w:eastAsia="仿宋_GB2312"/>
                <w:b/>
                <w:color w:val="000000"/>
                <w:kern w:val="0"/>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2020 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中华人民共和国药典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2010 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3</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GB28670-2012</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制药机械(设备)实施药品生产质量管理规范的通则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4</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WS/T738-2015</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制药企业职业危害防护规范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5</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38506-2020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动物细胞培养过程中生化参数的测定方法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6</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2020版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国家职业技能标准——动物检疫检验员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7</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WS/T 729-2014</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作业场所职业卫生检查程序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8</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29639-2020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生产经营单位生产安全事故应急预案编制导则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9</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 233-2017</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病原微生物实验室生物安全通用准则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10</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40171-2021</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磁珠法 DNA 提取纯化试剂盒检测通则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YY/T 1717-2020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核酸提取试剂盒（磁珠法）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12</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37874-2019</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核酸提取纯化方法评价通则</w:t>
            </w:r>
          </w:p>
        </w:tc>
      </w:tr>
    </w:tbl>
    <w:p>
      <w:pPr>
        <w:tabs>
          <w:tab w:val="left" w:pos="420"/>
        </w:tabs>
        <w:spacing w:before="156" w:beforeLines="50" w:after="156" w:afterLines="50" w:line="360" w:lineRule="auto"/>
        <w:rPr>
          <w:rFonts w:eastAsia="仿宋_GB2312"/>
          <w:color w:val="000000"/>
          <w:kern w:val="0"/>
          <w:sz w:val="28"/>
          <w:szCs w:val="28"/>
        </w:rPr>
      </w:pPr>
      <w:r>
        <w:rPr>
          <w:rFonts w:eastAsia="仿宋_GB2312"/>
          <w:b/>
          <w:bCs/>
          <w:color w:val="000000"/>
          <w:kern w:val="0"/>
          <w:sz w:val="28"/>
          <w:szCs w:val="28"/>
        </w:rPr>
        <w:t>二、赛场场地和环境</w:t>
      </w:r>
      <w:r>
        <w:rPr>
          <w:rFonts w:eastAsia="仿宋_GB2312"/>
          <w:color w:val="000000"/>
          <w:kern w:val="0"/>
          <w:sz w:val="28"/>
          <w:szCs w:val="28"/>
        </w:rPr>
        <w:t>  </w:t>
      </w:r>
    </w:p>
    <w:p>
      <w:pPr>
        <w:pStyle w:val="3"/>
        <w:spacing w:line="360" w:lineRule="auto"/>
        <w:rPr>
          <w:rFonts w:ascii="Times New Roman" w:hAnsi="Times New Roman" w:eastAsia="仿宋_GB2312"/>
          <w:bCs/>
          <w:color w:val="000000"/>
          <w:sz w:val="28"/>
          <w:szCs w:val="28"/>
        </w:rPr>
      </w:pPr>
      <w:r>
        <w:rPr>
          <w:rFonts w:ascii="Times New Roman" w:hAnsi="Times New Roman" w:eastAsia="仿宋_GB2312"/>
          <w:bCs/>
          <w:color w:val="000000"/>
          <w:sz w:val="28"/>
          <w:szCs w:val="28"/>
        </w:rPr>
        <w:t>1.理论考核及虚拟仿真操作考核场地</w:t>
      </w:r>
    </w:p>
    <w:p>
      <w:pPr>
        <w:pStyle w:val="3"/>
        <w:spacing w:line="520" w:lineRule="exact"/>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理论考核及虚拟仿真操作考核均在承办院校的计算机室进行，一名选手一台计算机，独立完成考核。</w:t>
      </w:r>
      <w:r>
        <w:rPr>
          <w:rFonts w:hint="eastAsia" w:ascii="Times New Roman" w:hAnsi="Times New Roman" w:eastAsia="仿宋_GB2312"/>
          <w:bCs/>
          <w:color w:val="000000"/>
          <w:sz w:val="28"/>
          <w:szCs w:val="28"/>
        </w:rPr>
        <w:t>理论采用笔试方式进行。</w:t>
      </w:r>
    </w:p>
    <w:p>
      <w:pPr>
        <w:pStyle w:val="3"/>
        <w:spacing w:line="520" w:lineRule="exact"/>
        <w:rPr>
          <w:rFonts w:ascii="Times New Roman" w:hAnsi="Times New Roman" w:eastAsia="仿宋_GB2312"/>
          <w:bCs/>
          <w:color w:val="000000"/>
          <w:sz w:val="28"/>
          <w:szCs w:val="28"/>
        </w:rPr>
      </w:pPr>
      <w:r>
        <w:rPr>
          <w:rFonts w:ascii="Times New Roman" w:hAnsi="Times New Roman" w:eastAsia="仿宋_GB2312"/>
          <w:bCs/>
          <w:color w:val="000000"/>
          <w:sz w:val="28"/>
          <w:szCs w:val="28"/>
        </w:rPr>
        <w:t>2.实践操作项目竞赛场地</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实践操作项目的比赛在独立实验室进行。实验室环境标准要求照明、控温良好，能提供稳定的水、电。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每个项目考核场地面积约为120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，场地内设有相对独立的长实验台，每个实验台按照每批次选手人数分为不同实验区，每个实验区标明编号。比赛时每个选手占用一个实验区作为比赛用台，其使用面积为1.5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～2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，比赛用台旁边设有水槽，供选手使用。</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竞赛所需试剂以及部分溶液，由组委会提供。</w:t>
      </w:r>
    </w:p>
    <w:p>
      <w:pPr>
        <w:tabs>
          <w:tab w:val="left" w:pos="420"/>
        </w:tabs>
        <w:spacing w:line="360" w:lineRule="auto"/>
        <w:rPr>
          <w:rFonts w:eastAsia="仿宋_GB2312"/>
          <w:b/>
          <w:bCs/>
          <w:color w:val="000000"/>
          <w:kern w:val="0"/>
          <w:sz w:val="28"/>
          <w:szCs w:val="28"/>
        </w:rPr>
      </w:pPr>
      <w:r>
        <w:rPr>
          <w:rFonts w:eastAsia="仿宋_GB2312"/>
          <w:b/>
          <w:bCs/>
          <w:color w:val="000000"/>
          <w:kern w:val="0"/>
          <w:sz w:val="28"/>
          <w:szCs w:val="28"/>
        </w:rPr>
        <w:t>三、竞赛技术平台标准</w:t>
      </w:r>
    </w:p>
    <w:p>
      <w:pPr>
        <w:tabs>
          <w:tab w:val="left" w:pos="420"/>
        </w:tabs>
        <w:spacing w:line="360" w:lineRule="auto"/>
        <w:rPr>
          <w:rFonts w:eastAsia="仿宋_GB2312"/>
          <w:b/>
          <w:sz w:val="28"/>
          <w:szCs w:val="28"/>
        </w:rPr>
      </w:pPr>
      <w:r>
        <w:rPr>
          <w:rFonts w:eastAsia="仿宋_GB2312"/>
          <w:b/>
          <w:sz w:val="28"/>
          <w:szCs w:val="28"/>
        </w:rPr>
        <w:t>（一）竞赛软件平台标准</w:t>
      </w:r>
    </w:p>
    <w:p>
      <w:pPr>
        <w:tabs>
          <w:tab w:val="left" w:pos="420"/>
        </w:tabs>
        <w:spacing w:line="360" w:lineRule="auto"/>
        <w:ind w:firstLine="560" w:firstLineChars="200"/>
        <w:rPr>
          <w:rFonts w:eastAsia="仿宋_GB2312"/>
          <w:sz w:val="28"/>
          <w:szCs w:val="28"/>
        </w:rPr>
      </w:pPr>
      <w:r>
        <w:rPr>
          <w:rFonts w:eastAsia="仿宋_GB2312"/>
          <w:sz w:val="28"/>
          <w:szCs w:val="28"/>
        </w:rPr>
        <w:t>大赛组委会提供计算机及Windows 10环境。</w:t>
      </w:r>
    </w:p>
    <w:tbl>
      <w:tblPr>
        <w:tblStyle w:val="9"/>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55"/>
        <w:gridCol w:w="1701"/>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0"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序号</w:t>
            </w:r>
          </w:p>
        </w:tc>
        <w:tc>
          <w:tcPr>
            <w:tcW w:w="4955"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软件</w:t>
            </w:r>
          </w:p>
        </w:tc>
        <w:tc>
          <w:tcPr>
            <w:tcW w:w="1701"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规格说明</w:t>
            </w:r>
          </w:p>
        </w:tc>
        <w:tc>
          <w:tcPr>
            <w:tcW w:w="987" w:type="dxa"/>
          </w:tcPr>
          <w:p>
            <w:pPr>
              <w:widowControl/>
              <w:spacing w:line="360" w:lineRule="auto"/>
              <w:jc w:val="center"/>
              <w:rPr>
                <w:rFonts w:eastAsia="仿宋_GB2312"/>
                <w:b/>
                <w:color w:val="000000"/>
                <w:kern w:val="0"/>
                <w:sz w:val="24"/>
              </w:rPr>
            </w:pPr>
            <w:r>
              <w:rPr>
                <w:rFonts w:eastAsia="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eastAsia="仿宋_GB2312"/>
                <w:kern w:val="0"/>
                <w:sz w:val="24"/>
              </w:rPr>
            </w:pPr>
            <w:r>
              <w:rPr>
                <w:rFonts w:eastAsia="仿宋_GB2312"/>
                <w:kern w:val="0"/>
                <w:sz w:val="24"/>
              </w:rPr>
              <w:t>1</w:t>
            </w:r>
          </w:p>
        </w:tc>
        <w:tc>
          <w:tcPr>
            <w:tcW w:w="4955" w:type="dxa"/>
            <w:vAlign w:val="center"/>
          </w:tcPr>
          <w:p>
            <w:pPr>
              <w:widowControl/>
              <w:spacing w:line="360" w:lineRule="auto"/>
              <w:rPr>
                <w:rFonts w:eastAsia="仿宋_GB2312"/>
                <w:kern w:val="0"/>
                <w:sz w:val="24"/>
              </w:rPr>
            </w:pPr>
            <w:r>
              <w:rPr>
                <w:rFonts w:eastAsia="仿宋_GB2312"/>
                <w:kern w:val="0"/>
                <w:sz w:val="24"/>
              </w:rPr>
              <w:t>电脑操作系统</w:t>
            </w:r>
          </w:p>
        </w:tc>
        <w:tc>
          <w:tcPr>
            <w:tcW w:w="1701" w:type="dxa"/>
            <w:vAlign w:val="center"/>
          </w:tcPr>
          <w:p>
            <w:pPr>
              <w:widowControl/>
              <w:spacing w:line="360" w:lineRule="auto"/>
              <w:jc w:val="left"/>
              <w:rPr>
                <w:rFonts w:eastAsia="仿宋_GB2312"/>
                <w:kern w:val="0"/>
                <w:sz w:val="24"/>
              </w:rPr>
            </w:pPr>
            <w:r>
              <w:rPr>
                <w:rFonts w:eastAsia="仿宋_GB2312"/>
                <w:kern w:val="0"/>
                <w:sz w:val="24"/>
              </w:rPr>
              <w:t>Windows 10</w:t>
            </w:r>
          </w:p>
        </w:tc>
        <w:tc>
          <w:tcPr>
            <w:tcW w:w="987" w:type="dxa"/>
          </w:tcPr>
          <w:p>
            <w:pPr>
              <w:widowControl/>
              <w:spacing w:line="360" w:lineRule="auto"/>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eastAsia="仿宋_GB2312"/>
                <w:kern w:val="0"/>
                <w:sz w:val="24"/>
              </w:rPr>
            </w:pPr>
            <w:r>
              <w:rPr>
                <w:rFonts w:eastAsia="仿宋_GB2312"/>
                <w:kern w:val="0"/>
                <w:sz w:val="24"/>
              </w:rPr>
              <w:t>2</w:t>
            </w:r>
          </w:p>
        </w:tc>
        <w:tc>
          <w:tcPr>
            <w:tcW w:w="4955" w:type="dxa"/>
            <w:vAlign w:val="center"/>
          </w:tcPr>
          <w:p>
            <w:pPr>
              <w:widowControl/>
              <w:adjustRightInd w:val="0"/>
              <w:snapToGrid w:val="0"/>
              <w:rPr>
                <w:rFonts w:eastAsia="仿宋_GB2312"/>
                <w:kern w:val="0"/>
                <w:sz w:val="24"/>
              </w:rPr>
            </w:pPr>
            <w:r>
              <w:rPr>
                <w:rFonts w:eastAsia="仿宋_GB2312"/>
                <w:kern w:val="0"/>
                <w:sz w:val="24"/>
              </w:rPr>
              <w:t>微生物（青霉素）发酵生产工艺虚拟仿真软件</w:t>
            </w:r>
          </w:p>
        </w:tc>
        <w:tc>
          <w:tcPr>
            <w:tcW w:w="1701" w:type="dxa"/>
            <w:vAlign w:val="center"/>
          </w:tcPr>
          <w:p>
            <w:pPr>
              <w:widowControl/>
              <w:spacing w:line="360" w:lineRule="auto"/>
              <w:jc w:val="left"/>
              <w:rPr>
                <w:rFonts w:eastAsia="仿宋_GB2312"/>
                <w:kern w:val="0"/>
                <w:sz w:val="24"/>
              </w:rPr>
            </w:pPr>
            <w:r>
              <w:rPr>
                <w:rFonts w:eastAsia="仿宋_GB2312"/>
                <w:kern w:val="0"/>
                <w:sz w:val="24"/>
              </w:rPr>
              <w:t>OBR V1.0</w:t>
            </w:r>
          </w:p>
        </w:tc>
        <w:tc>
          <w:tcPr>
            <w:tcW w:w="987" w:type="dxa"/>
          </w:tcPr>
          <w:p>
            <w:pPr>
              <w:widowControl/>
              <w:spacing w:line="360" w:lineRule="auto"/>
              <w:jc w:val="left"/>
              <w:rPr>
                <w:rFonts w:eastAsia="仿宋_GB2312"/>
                <w:kern w:val="0"/>
                <w:sz w:val="24"/>
              </w:rPr>
            </w:pPr>
          </w:p>
        </w:tc>
      </w:tr>
    </w:tbl>
    <w:p>
      <w:pPr>
        <w:widowControl/>
        <w:spacing w:before="156" w:beforeLines="50" w:line="360" w:lineRule="auto"/>
        <w:jc w:val="left"/>
        <w:rPr>
          <w:rFonts w:eastAsia="仿宋_GB2312"/>
          <w:b/>
          <w:sz w:val="28"/>
          <w:szCs w:val="28"/>
        </w:rPr>
      </w:pPr>
      <w:r>
        <w:rPr>
          <w:rFonts w:eastAsia="仿宋_GB2312"/>
          <w:b/>
          <w:color w:val="000000"/>
          <w:kern w:val="0"/>
          <w:sz w:val="28"/>
          <w:szCs w:val="28"/>
        </w:rPr>
        <w:t>（二）竞赛项目所用主要</w:t>
      </w:r>
      <w:r>
        <w:rPr>
          <w:rFonts w:eastAsia="仿宋_GB2312"/>
          <w:b/>
          <w:sz w:val="28"/>
          <w:szCs w:val="28"/>
        </w:rPr>
        <w:t>设备</w:t>
      </w:r>
    </w:p>
    <w:tbl>
      <w:tblPr>
        <w:tblStyle w:val="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53"/>
        <w:gridCol w:w="396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pacing w:line="360" w:lineRule="auto"/>
              <w:jc w:val="center"/>
              <w:rPr>
                <w:rFonts w:eastAsia="仿宋_GB2312"/>
                <w:b/>
                <w:sz w:val="24"/>
              </w:rPr>
            </w:pPr>
            <w:r>
              <w:rPr>
                <w:rFonts w:eastAsia="仿宋_GB2312"/>
                <w:b/>
                <w:sz w:val="24"/>
              </w:rPr>
              <w:t>序号</w:t>
            </w:r>
          </w:p>
        </w:tc>
        <w:tc>
          <w:tcPr>
            <w:tcW w:w="2653" w:type="dxa"/>
            <w:vAlign w:val="center"/>
          </w:tcPr>
          <w:p>
            <w:pPr>
              <w:spacing w:line="360" w:lineRule="auto"/>
              <w:jc w:val="center"/>
              <w:rPr>
                <w:rFonts w:eastAsia="仿宋_GB2312"/>
                <w:b/>
                <w:sz w:val="24"/>
              </w:rPr>
            </w:pPr>
            <w:r>
              <w:rPr>
                <w:rFonts w:eastAsia="仿宋_GB2312"/>
                <w:b/>
                <w:sz w:val="24"/>
              </w:rPr>
              <w:t>名称</w:t>
            </w:r>
          </w:p>
        </w:tc>
        <w:tc>
          <w:tcPr>
            <w:tcW w:w="3969" w:type="dxa"/>
            <w:vAlign w:val="center"/>
          </w:tcPr>
          <w:p>
            <w:pPr>
              <w:spacing w:line="360" w:lineRule="auto"/>
              <w:jc w:val="center"/>
              <w:rPr>
                <w:rFonts w:eastAsia="仿宋_GB2312"/>
                <w:b/>
                <w:sz w:val="24"/>
              </w:rPr>
            </w:pPr>
            <w:r>
              <w:rPr>
                <w:rFonts w:eastAsia="仿宋_GB2312"/>
                <w:b/>
                <w:sz w:val="24"/>
              </w:rPr>
              <w:t>规格</w:t>
            </w:r>
          </w:p>
        </w:tc>
        <w:tc>
          <w:tcPr>
            <w:tcW w:w="1276" w:type="dxa"/>
            <w:vAlign w:val="center"/>
          </w:tcPr>
          <w:p>
            <w:pPr>
              <w:spacing w:line="360" w:lineRule="auto"/>
              <w:jc w:val="center"/>
              <w:rPr>
                <w:rFonts w:eastAsia="仿宋_GB2312"/>
                <w:b/>
                <w:sz w:val="24"/>
              </w:rPr>
            </w:pPr>
            <w:r>
              <w:rPr>
                <w:rFonts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1</w:t>
            </w:r>
          </w:p>
        </w:tc>
        <w:tc>
          <w:tcPr>
            <w:tcW w:w="2653" w:type="dxa"/>
            <w:vAlign w:val="center"/>
          </w:tcPr>
          <w:p>
            <w:pPr>
              <w:spacing w:line="360" w:lineRule="auto"/>
              <w:jc w:val="center"/>
              <w:rPr>
                <w:rFonts w:eastAsia="仿宋_GB2312"/>
                <w:sz w:val="24"/>
              </w:rPr>
            </w:pPr>
            <w:r>
              <w:rPr>
                <w:rFonts w:eastAsia="仿宋_GB2312"/>
                <w:sz w:val="24"/>
                <w:lang w:val="en-GB"/>
              </w:rPr>
              <w:t>核酸蛋白分析仪</w:t>
            </w:r>
          </w:p>
        </w:tc>
        <w:tc>
          <w:tcPr>
            <w:tcW w:w="3969" w:type="dxa"/>
            <w:vAlign w:val="center"/>
          </w:tcPr>
          <w:p>
            <w:pPr>
              <w:spacing w:line="360" w:lineRule="auto"/>
              <w:jc w:val="center"/>
              <w:rPr>
                <w:rFonts w:eastAsia="仿宋_GB2312"/>
                <w:sz w:val="24"/>
              </w:rPr>
            </w:pPr>
            <w:r>
              <w:rPr>
                <w:rFonts w:eastAsia="仿宋_GB2312"/>
                <w:sz w:val="24"/>
              </w:rPr>
              <w:t>上海嘉鹏 nano800</w:t>
            </w:r>
          </w:p>
        </w:tc>
        <w:tc>
          <w:tcPr>
            <w:tcW w:w="1276" w:type="dxa"/>
            <w:vAlign w:val="center"/>
          </w:tcPr>
          <w:p>
            <w:pPr>
              <w:jc w:val="left"/>
              <w:rPr>
                <w:rFonts w:eastAsia="仿宋_GB2312"/>
                <w:color w:val="000000"/>
                <w:sz w:val="24"/>
              </w:rPr>
            </w:pPr>
            <w:r>
              <w:rPr>
                <w:rFonts w:eastAsia="仿宋_GB2312"/>
                <w:color w:val="00000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2</w:t>
            </w:r>
          </w:p>
        </w:tc>
        <w:tc>
          <w:tcPr>
            <w:tcW w:w="2653" w:type="dxa"/>
            <w:vAlign w:val="center"/>
          </w:tcPr>
          <w:p>
            <w:pPr>
              <w:spacing w:line="360" w:lineRule="auto"/>
              <w:jc w:val="center"/>
              <w:rPr>
                <w:rFonts w:eastAsia="仿宋_GB2312"/>
                <w:sz w:val="24"/>
              </w:rPr>
            </w:pPr>
            <w:r>
              <w:rPr>
                <w:rFonts w:eastAsia="仿宋_GB2312"/>
                <w:sz w:val="24"/>
              </w:rPr>
              <w:t>涡旋混合器</w:t>
            </w:r>
          </w:p>
        </w:tc>
        <w:tc>
          <w:tcPr>
            <w:tcW w:w="3969" w:type="dxa"/>
            <w:vAlign w:val="center"/>
          </w:tcPr>
          <w:p>
            <w:pPr>
              <w:spacing w:line="360" w:lineRule="auto"/>
              <w:jc w:val="center"/>
              <w:rPr>
                <w:rFonts w:eastAsia="仿宋_GB2312"/>
                <w:sz w:val="24"/>
              </w:rPr>
            </w:pPr>
          </w:p>
        </w:tc>
        <w:tc>
          <w:tcPr>
            <w:tcW w:w="1276" w:type="dxa"/>
            <w:vAlign w:val="center"/>
          </w:tcPr>
          <w:p>
            <w:pPr>
              <w:spacing w:line="360" w:lineRule="auto"/>
              <w:jc w:val="left"/>
              <w:rPr>
                <w:rFonts w:eastAsia="仿宋_GB2312"/>
                <w:sz w:val="24"/>
              </w:rPr>
            </w:pPr>
            <w:r>
              <w:rPr>
                <w:rFonts w:eastAsia="仿宋_GB2312"/>
                <w:sz w:val="24"/>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3</w:t>
            </w:r>
          </w:p>
        </w:tc>
        <w:tc>
          <w:tcPr>
            <w:tcW w:w="2653" w:type="dxa"/>
            <w:vAlign w:val="center"/>
          </w:tcPr>
          <w:p>
            <w:pPr>
              <w:spacing w:line="360" w:lineRule="auto"/>
              <w:jc w:val="center"/>
              <w:rPr>
                <w:rFonts w:eastAsia="仿宋_GB2312"/>
                <w:sz w:val="24"/>
              </w:rPr>
            </w:pPr>
            <w:r>
              <w:rPr>
                <w:rFonts w:eastAsia="仿宋_GB2312"/>
                <w:sz w:val="24"/>
                <w:lang w:val="en-GB"/>
              </w:rPr>
              <w:t>恒温混匀仪（金属浴）</w:t>
            </w:r>
          </w:p>
        </w:tc>
        <w:tc>
          <w:tcPr>
            <w:tcW w:w="3969" w:type="dxa"/>
            <w:vAlign w:val="center"/>
          </w:tcPr>
          <w:p>
            <w:pPr>
              <w:spacing w:line="360" w:lineRule="auto"/>
              <w:jc w:val="center"/>
              <w:rPr>
                <w:rFonts w:eastAsia="仿宋_GB2312"/>
                <w:color w:val="000000"/>
                <w:sz w:val="24"/>
              </w:rPr>
            </w:pPr>
          </w:p>
        </w:tc>
        <w:tc>
          <w:tcPr>
            <w:tcW w:w="1276" w:type="dxa"/>
            <w:vAlign w:val="center"/>
          </w:tcPr>
          <w:p>
            <w:pPr>
              <w:spacing w:line="360" w:lineRule="auto"/>
              <w:jc w:val="left"/>
              <w:rPr>
                <w:rFonts w:eastAsia="仿宋_GB2312"/>
                <w:sz w:val="24"/>
                <w:highlight w:val="yellow"/>
              </w:rPr>
            </w:pPr>
            <w:r>
              <w:rPr>
                <w:rFonts w:eastAsia="仿宋_GB2312"/>
                <w:sz w:val="24"/>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4</w:t>
            </w:r>
          </w:p>
        </w:tc>
        <w:tc>
          <w:tcPr>
            <w:tcW w:w="2653" w:type="dxa"/>
            <w:vAlign w:val="center"/>
          </w:tcPr>
          <w:p>
            <w:pPr>
              <w:spacing w:line="360" w:lineRule="auto"/>
              <w:jc w:val="center"/>
              <w:rPr>
                <w:rFonts w:eastAsia="仿宋_GB2312"/>
                <w:sz w:val="24"/>
              </w:rPr>
            </w:pPr>
            <w:r>
              <w:rPr>
                <w:rFonts w:eastAsia="仿宋_GB2312"/>
                <w:sz w:val="24"/>
              </w:rPr>
              <w:t>磁力架</w:t>
            </w:r>
          </w:p>
        </w:tc>
        <w:tc>
          <w:tcPr>
            <w:tcW w:w="3969" w:type="dxa"/>
            <w:vAlign w:val="center"/>
          </w:tcPr>
          <w:p>
            <w:pPr>
              <w:spacing w:line="360" w:lineRule="auto"/>
              <w:jc w:val="center"/>
              <w:rPr>
                <w:rFonts w:eastAsia="仿宋_GB2312"/>
                <w:color w:val="000000"/>
                <w:sz w:val="24"/>
              </w:rPr>
            </w:pPr>
            <w:r>
              <w:rPr>
                <w:rFonts w:eastAsia="仿宋_GB2312"/>
                <w:color w:val="000000"/>
                <w:sz w:val="24"/>
              </w:rPr>
              <w:t>/</w:t>
            </w:r>
          </w:p>
        </w:tc>
        <w:tc>
          <w:tcPr>
            <w:tcW w:w="1276" w:type="dxa"/>
            <w:vAlign w:val="center"/>
          </w:tcPr>
          <w:p>
            <w:pPr>
              <w:spacing w:line="360" w:lineRule="auto"/>
              <w:jc w:val="left"/>
              <w:rPr>
                <w:rFonts w:eastAsia="仿宋_GB2312"/>
                <w:sz w:val="24"/>
              </w:rPr>
            </w:pPr>
            <w:r>
              <w:rPr>
                <w:rFonts w:eastAsia="仿宋_GB2312"/>
                <w:sz w:val="24"/>
              </w:rPr>
              <w:t>1个/人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5</w:t>
            </w:r>
          </w:p>
        </w:tc>
        <w:tc>
          <w:tcPr>
            <w:tcW w:w="2653" w:type="dxa"/>
            <w:vAlign w:val="center"/>
          </w:tcPr>
          <w:p>
            <w:pPr>
              <w:spacing w:line="360" w:lineRule="auto"/>
              <w:jc w:val="center"/>
              <w:rPr>
                <w:rFonts w:eastAsia="仿宋_GB2312"/>
                <w:sz w:val="24"/>
              </w:rPr>
            </w:pPr>
            <w:r>
              <w:rPr>
                <w:rFonts w:eastAsia="仿宋_GB2312"/>
                <w:sz w:val="24"/>
              </w:rPr>
              <w:t>微量移液枪及适配枪头</w:t>
            </w:r>
          </w:p>
        </w:tc>
        <w:tc>
          <w:tcPr>
            <w:tcW w:w="3969" w:type="dxa"/>
            <w:vAlign w:val="center"/>
          </w:tcPr>
          <w:p>
            <w:pPr>
              <w:spacing w:line="360" w:lineRule="auto"/>
              <w:jc w:val="center"/>
              <w:rPr>
                <w:rFonts w:eastAsia="仿宋_GB2312"/>
                <w:color w:val="000000"/>
                <w:kern w:val="0"/>
                <w:sz w:val="24"/>
              </w:rPr>
            </w:pPr>
            <w:r>
              <w:rPr>
                <w:rFonts w:eastAsia="仿宋_GB2312"/>
                <w:sz w:val="24"/>
              </w:rPr>
              <w:t>100-1000μL / 20-200μL / 0.5-10μL</w:t>
            </w:r>
          </w:p>
        </w:tc>
        <w:tc>
          <w:tcPr>
            <w:tcW w:w="1276" w:type="dxa"/>
            <w:vAlign w:val="center"/>
          </w:tcPr>
          <w:p>
            <w:pPr>
              <w:adjustRightInd w:val="0"/>
              <w:snapToGrid w:val="0"/>
              <w:jc w:val="left"/>
              <w:rPr>
                <w:rFonts w:eastAsia="仿宋_GB2312"/>
                <w:sz w:val="24"/>
              </w:rPr>
            </w:pPr>
            <w:r>
              <w:rPr>
                <w:rFonts w:eastAsia="仿宋_GB2312"/>
                <w:sz w:val="24"/>
              </w:rPr>
              <w:t>1套/人</w:t>
            </w:r>
          </w:p>
          <w:p>
            <w:pPr>
              <w:adjustRightInd w:val="0"/>
              <w:snapToGrid w:val="0"/>
              <w:jc w:val="left"/>
              <w:rPr>
                <w:rFonts w:eastAsia="仿宋_GB2312"/>
                <w:b/>
                <w:bCs/>
                <w:sz w:val="24"/>
              </w:rPr>
            </w:pPr>
            <w:r>
              <w:rPr>
                <w:rFonts w:eastAsia="仿宋_GB2312"/>
                <w:b/>
                <w:bCs/>
                <w:sz w:val="24"/>
              </w:rPr>
              <w:t>允许自备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6</w:t>
            </w:r>
          </w:p>
        </w:tc>
        <w:tc>
          <w:tcPr>
            <w:tcW w:w="2653" w:type="dxa"/>
            <w:vAlign w:val="center"/>
          </w:tcPr>
          <w:p>
            <w:pPr>
              <w:spacing w:line="360" w:lineRule="auto"/>
              <w:jc w:val="center"/>
              <w:rPr>
                <w:rFonts w:eastAsia="仿宋_GB2312"/>
                <w:sz w:val="24"/>
              </w:rPr>
            </w:pPr>
            <w:r>
              <w:rPr>
                <w:rFonts w:eastAsia="仿宋_GB2312"/>
                <w:sz w:val="24"/>
              </w:rPr>
              <w:t>高速离心机</w:t>
            </w:r>
          </w:p>
        </w:tc>
        <w:tc>
          <w:tcPr>
            <w:tcW w:w="3969" w:type="dxa"/>
            <w:vAlign w:val="center"/>
          </w:tcPr>
          <w:p>
            <w:pPr>
              <w:adjustRightInd w:val="0"/>
              <w:snapToGrid w:val="0"/>
              <w:jc w:val="center"/>
              <w:rPr>
                <w:rFonts w:eastAsia="仿宋_GB2312"/>
                <w:sz w:val="24"/>
              </w:rPr>
            </w:pPr>
            <w:r>
              <w:rPr>
                <w:rFonts w:eastAsia="仿宋_GB2312"/>
                <w:sz w:val="24"/>
              </w:rPr>
              <w:t>满足 24×2mL离心管使用要求，</w:t>
            </w:r>
          </w:p>
          <w:p>
            <w:pPr>
              <w:adjustRightInd w:val="0"/>
              <w:snapToGrid w:val="0"/>
              <w:jc w:val="center"/>
              <w:rPr>
                <w:rFonts w:eastAsia="仿宋_GB2312"/>
                <w:sz w:val="24"/>
              </w:rPr>
            </w:pPr>
            <w:r>
              <w:rPr>
                <w:rFonts w:eastAsia="仿宋_GB2312"/>
                <w:sz w:val="24"/>
              </w:rPr>
              <w:t>最大离心力13000r/min</w:t>
            </w:r>
          </w:p>
        </w:tc>
        <w:tc>
          <w:tcPr>
            <w:tcW w:w="1276" w:type="dxa"/>
            <w:vAlign w:val="center"/>
          </w:tcPr>
          <w:p>
            <w:pPr>
              <w:spacing w:line="360" w:lineRule="auto"/>
              <w:jc w:val="left"/>
              <w:rPr>
                <w:rFonts w:eastAsia="仿宋_GB2312"/>
                <w:sz w:val="24"/>
              </w:rPr>
            </w:pPr>
            <w:r>
              <w:rPr>
                <w:rFonts w:eastAsia="仿宋_GB2312"/>
                <w:sz w:val="24"/>
              </w:rPr>
              <w:t>备用</w:t>
            </w:r>
          </w:p>
        </w:tc>
      </w:tr>
    </w:tbl>
    <w:p>
      <w:pPr>
        <w:widowControl/>
        <w:spacing w:before="156" w:beforeLines="50" w:line="360" w:lineRule="auto"/>
        <w:jc w:val="left"/>
        <w:rPr>
          <w:rFonts w:eastAsia="仿宋_GB2312"/>
          <w:b/>
          <w:sz w:val="28"/>
          <w:szCs w:val="28"/>
        </w:rPr>
      </w:pPr>
      <w:r>
        <w:rPr>
          <w:b/>
          <w:color w:val="000000"/>
          <w:kern w:val="0"/>
          <w:sz w:val="24"/>
        </w:rPr>
        <w:t>（三）</w:t>
      </w:r>
      <w:r>
        <w:rPr>
          <w:rFonts w:eastAsia="仿宋_GB2312"/>
          <w:b/>
          <w:color w:val="000000"/>
          <w:kern w:val="0"/>
          <w:sz w:val="28"/>
          <w:szCs w:val="28"/>
        </w:rPr>
        <w:t>竞赛项目所用主要</w:t>
      </w:r>
      <w:r>
        <w:rPr>
          <w:rFonts w:eastAsia="仿宋_GB2312"/>
          <w:b/>
          <w:sz w:val="28"/>
          <w:szCs w:val="28"/>
        </w:rPr>
        <w:t>试剂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068"/>
        <w:gridCol w:w="2421"/>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序号</w:t>
            </w:r>
          </w:p>
        </w:tc>
        <w:tc>
          <w:tcPr>
            <w:tcW w:w="3068" w:type="dxa"/>
            <w:vAlign w:val="center"/>
          </w:tcPr>
          <w:p>
            <w:pPr>
              <w:adjustRightInd w:val="0"/>
              <w:snapToGrid w:val="0"/>
              <w:jc w:val="center"/>
              <w:rPr>
                <w:rFonts w:eastAsia="仿宋_GB2312"/>
                <w:sz w:val="24"/>
              </w:rPr>
            </w:pPr>
            <w:r>
              <w:rPr>
                <w:rFonts w:eastAsia="仿宋_GB2312"/>
                <w:sz w:val="24"/>
              </w:rPr>
              <w:t>名称</w:t>
            </w:r>
          </w:p>
        </w:tc>
        <w:tc>
          <w:tcPr>
            <w:tcW w:w="2421" w:type="dxa"/>
            <w:vAlign w:val="center"/>
          </w:tcPr>
          <w:p>
            <w:pPr>
              <w:adjustRightInd w:val="0"/>
              <w:snapToGrid w:val="0"/>
              <w:jc w:val="center"/>
              <w:rPr>
                <w:rFonts w:eastAsia="仿宋_GB2312"/>
                <w:sz w:val="24"/>
              </w:rPr>
            </w:pPr>
            <w:r>
              <w:rPr>
                <w:rFonts w:eastAsia="仿宋_GB2312"/>
                <w:sz w:val="24"/>
              </w:rPr>
              <w:t>规格</w:t>
            </w:r>
          </w:p>
        </w:tc>
        <w:tc>
          <w:tcPr>
            <w:tcW w:w="2172" w:type="dxa"/>
            <w:vAlign w:val="center"/>
          </w:tcPr>
          <w:p>
            <w:pPr>
              <w:adjustRightInd w:val="0"/>
              <w:snapToGrid w:val="0"/>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1</w:t>
            </w:r>
          </w:p>
        </w:tc>
        <w:tc>
          <w:tcPr>
            <w:tcW w:w="3068" w:type="dxa"/>
            <w:vAlign w:val="center"/>
          </w:tcPr>
          <w:p>
            <w:pPr>
              <w:adjustRightInd w:val="0"/>
              <w:snapToGrid w:val="0"/>
              <w:jc w:val="center"/>
              <w:rPr>
                <w:rFonts w:eastAsia="仿宋_GB2312"/>
                <w:sz w:val="24"/>
                <w:highlight w:val="yellow"/>
              </w:rPr>
            </w:pPr>
            <w:r>
              <w:rPr>
                <w:rFonts w:eastAsia="仿宋_GB2312"/>
                <w:sz w:val="24"/>
              </w:rPr>
              <w:t>抗凝鸡全血</w:t>
            </w:r>
          </w:p>
        </w:tc>
        <w:tc>
          <w:tcPr>
            <w:tcW w:w="2421" w:type="dxa"/>
            <w:vAlign w:val="center"/>
          </w:tcPr>
          <w:p>
            <w:pPr>
              <w:adjustRightInd w:val="0"/>
              <w:snapToGrid w:val="0"/>
              <w:jc w:val="center"/>
              <w:rPr>
                <w:rFonts w:eastAsia="仿宋_GB2312"/>
                <w:sz w:val="24"/>
              </w:rPr>
            </w:pPr>
            <w:r>
              <w:rPr>
                <w:rFonts w:eastAsia="仿宋_GB2312"/>
                <w:sz w:val="24"/>
              </w:rPr>
              <w:t>/</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2</w:t>
            </w:r>
          </w:p>
        </w:tc>
        <w:tc>
          <w:tcPr>
            <w:tcW w:w="3068" w:type="dxa"/>
            <w:vAlign w:val="center"/>
          </w:tcPr>
          <w:p>
            <w:pPr>
              <w:adjustRightInd w:val="0"/>
              <w:snapToGrid w:val="0"/>
              <w:jc w:val="center"/>
              <w:rPr>
                <w:rFonts w:eastAsia="仿宋_GB2312"/>
                <w:sz w:val="24"/>
                <w:highlight w:val="yellow"/>
              </w:rPr>
            </w:pPr>
            <w:r>
              <w:rPr>
                <w:rFonts w:eastAsia="仿宋_GB2312"/>
                <w:sz w:val="24"/>
              </w:rPr>
              <w:t>PBS缓冲溶液</w:t>
            </w:r>
          </w:p>
        </w:tc>
        <w:tc>
          <w:tcPr>
            <w:tcW w:w="2421" w:type="dxa"/>
            <w:vAlign w:val="center"/>
          </w:tcPr>
          <w:p>
            <w:pPr>
              <w:adjustRightInd w:val="0"/>
              <w:snapToGrid w:val="0"/>
              <w:jc w:val="center"/>
              <w:rPr>
                <w:rFonts w:eastAsia="仿宋_GB2312"/>
                <w:sz w:val="24"/>
              </w:rPr>
            </w:pPr>
            <w:r>
              <w:rPr>
                <w:rFonts w:eastAsia="仿宋_GB2312"/>
                <w:sz w:val="24"/>
              </w:rPr>
              <w:t>/</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3</w:t>
            </w:r>
          </w:p>
        </w:tc>
        <w:tc>
          <w:tcPr>
            <w:tcW w:w="3068" w:type="dxa"/>
            <w:vAlign w:val="center"/>
          </w:tcPr>
          <w:p>
            <w:pPr>
              <w:adjustRightInd w:val="0"/>
              <w:snapToGrid w:val="0"/>
              <w:jc w:val="center"/>
              <w:rPr>
                <w:rFonts w:eastAsia="仿宋_GB2312"/>
                <w:sz w:val="24"/>
              </w:rPr>
            </w:pPr>
            <w:r>
              <w:rPr>
                <w:rFonts w:eastAsia="仿宋_GB2312"/>
                <w:sz w:val="24"/>
              </w:rPr>
              <w:t>异丙醇</w:t>
            </w:r>
          </w:p>
        </w:tc>
        <w:tc>
          <w:tcPr>
            <w:tcW w:w="2421" w:type="dxa"/>
            <w:vAlign w:val="center"/>
          </w:tcPr>
          <w:p>
            <w:pPr>
              <w:adjustRightInd w:val="0"/>
              <w:snapToGrid w:val="0"/>
              <w:jc w:val="center"/>
              <w:rPr>
                <w:rFonts w:eastAsia="仿宋_GB2312"/>
                <w:sz w:val="24"/>
              </w:rPr>
            </w:pPr>
            <w:r>
              <w:rPr>
                <w:rFonts w:eastAsia="仿宋_GB2312"/>
                <w:sz w:val="24"/>
              </w:rPr>
              <w:t>分析纯</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4</w:t>
            </w:r>
          </w:p>
        </w:tc>
        <w:tc>
          <w:tcPr>
            <w:tcW w:w="3068" w:type="dxa"/>
            <w:vAlign w:val="center"/>
          </w:tcPr>
          <w:p>
            <w:pPr>
              <w:adjustRightInd w:val="0"/>
              <w:snapToGrid w:val="0"/>
              <w:jc w:val="center"/>
              <w:rPr>
                <w:rFonts w:eastAsia="仿宋_GB2312"/>
                <w:sz w:val="24"/>
              </w:rPr>
            </w:pPr>
            <w:r>
              <w:rPr>
                <w:rFonts w:eastAsia="仿宋_GB2312"/>
                <w:sz w:val="24"/>
              </w:rPr>
              <w:t>无水乙醇</w:t>
            </w:r>
          </w:p>
        </w:tc>
        <w:tc>
          <w:tcPr>
            <w:tcW w:w="2421" w:type="dxa"/>
            <w:vAlign w:val="center"/>
          </w:tcPr>
          <w:p>
            <w:pPr>
              <w:adjustRightInd w:val="0"/>
              <w:snapToGrid w:val="0"/>
              <w:jc w:val="center"/>
              <w:rPr>
                <w:rFonts w:eastAsia="仿宋_GB2312"/>
                <w:sz w:val="24"/>
              </w:rPr>
            </w:pPr>
            <w:r>
              <w:rPr>
                <w:rFonts w:eastAsia="仿宋_GB2312"/>
                <w:sz w:val="24"/>
              </w:rPr>
              <w:t>分析纯</w:t>
            </w:r>
          </w:p>
        </w:tc>
        <w:tc>
          <w:tcPr>
            <w:tcW w:w="2172" w:type="dxa"/>
            <w:vAlign w:val="center"/>
          </w:tcPr>
          <w:p>
            <w:pPr>
              <w:adjustRightInd w:val="0"/>
              <w:snapToGrid w:val="0"/>
              <w:jc w:val="left"/>
              <w:rPr>
                <w:rFonts w:eastAsia="仿宋_GB2312"/>
                <w:sz w:val="24"/>
              </w:rPr>
            </w:pPr>
            <w:r>
              <w:rPr>
                <w:rFonts w:eastAsia="仿宋_GB2312"/>
                <w:sz w:val="24"/>
              </w:rPr>
              <w:t>已添加至试剂盒相关试剂内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eastAsia="仿宋_GB2312"/>
                <w:sz w:val="24"/>
              </w:rPr>
            </w:pPr>
            <w:r>
              <w:rPr>
                <w:rFonts w:eastAsia="仿宋_GB2312"/>
                <w:sz w:val="24"/>
              </w:rPr>
              <w:t>5</w:t>
            </w:r>
          </w:p>
        </w:tc>
        <w:tc>
          <w:tcPr>
            <w:tcW w:w="3068" w:type="dxa"/>
            <w:vAlign w:val="center"/>
          </w:tcPr>
          <w:p>
            <w:pPr>
              <w:adjustRightInd w:val="0"/>
              <w:snapToGrid w:val="0"/>
              <w:jc w:val="center"/>
              <w:rPr>
                <w:rFonts w:eastAsia="仿宋_GB2312"/>
                <w:sz w:val="24"/>
              </w:rPr>
            </w:pPr>
            <w:r>
              <w:rPr>
                <w:rFonts w:eastAsia="仿宋_GB2312"/>
                <w:sz w:val="24"/>
              </w:rPr>
              <w:t>磁珠法血液基因组DNA提取试剂盒</w:t>
            </w:r>
          </w:p>
        </w:tc>
        <w:tc>
          <w:tcPr>
            <w:tcW w:w="2421" w:type="dxa"/>
            <w:vAlign w:val="center"/>
          </w:tcPr>
          <w:p>
            <w:pPr>
              <w:adjustRightInd w:val="0"/>
              <w:snapToGrid w:val="0"/>
              <w:jc w:val="center"/>
              <w:rPr>
                <w:rFonts w:eastAsia="仿宋_GB2312"/>
                <w:sz w:val="24"/>
              </w:rPr>
            </w:pPr>
            <w:r>
              <w:rPr>
                <w:rFonts w:eastAsia="仿宋_GB2312"/>
                <w:sz w:val="24"/>
              </w:rPr>
              <w:t>TIANGEN DP329</w:t>
            </w:r>
          </w:p>
        </w:tc>
        <w:tc>
          <w:tcPr>
            <w:tcW w:w="2172" w:type="dxa"/>
            <w:vAlign w:val="center"/>
          </w:tcPr>
          <w:p>
            <w:pPr>
              <w:adjustRightInd w:val="0"/>
              <w:snapToGrid w:val="0"/>
              <w:jc w:val="left"/>
              <w:rPr>
                <w:rFonts w:eastAsia="仿宋_GB2312"/>
                <w:sz w:val="24"/>
              </w:rPr>
            </w:pPr>
            <w:r>
              <w:rPr>
                <w:rFonts w:eastAsia="仿宋_GB2312"/>
                <w:sz w:val="24"/>
              </w:rPr>
              <w:t>相关试剂已添加无水乙醇</w:t>
            </w:r>
          </w:p>
        </w:tc>
      </w:tr>
    </w:tbl>
    <w:p>
      <w:pPr>
        <w:widowControl/>
        <w:spacing w:before="156" w:beforeLines="50" w:after="156" w:afterLines="50" w:line="360" w:lineRule="auto"/>
        <w:jc w:val="left"/>
        <w:rPr>
          <w:rFonts w:eastAsia="仿宋_GB2312"/>
          <w:color w:val="000000"/>
          <w:kern w:val="0"/>
          <w:sz w:val="28"/>
          <w:szCs w:val="28"/>
        </w:rPr>
      </w:pPr>
      <w:r>
        <w:rPr>
          <w:rFonts w:eastAsia="仿宋_GB2312"/>
          <w:color w:val="000000"/>
          <w:kern w:val="0"/>
          <w:sz w:val="28"/>
          <w:szCs w:val="28"/>
        </w:rPr>
        <w:t>注：</w:t>
      </w:r>
      <w:r>
        <w:rPr>
          <w:rFonts w:hint="eastAsia" w:eastAsia="仿宋_GB2312"/>
          <w:color w:val="000000"/>
          <w:kern w:val="0"/>
          <w:sz w:val="28"/>
          <w:szCs w:val="28"/>
        </w:rPr>
        <w:t>上表</w:t>
      </w:r>
      <w:r>
        <w:rPr>
          <w:rFonts w:eastAsia="仿宋_GB2312"/>
          <w:color w:val="000000"/>
          <w:kern w:val="0"/>
          <w:sz w:val="28"/>
          <w:szCs w:val="28"/>
        </w:rPr>
        <w:t>2-5</w:t>
      </w:r>
      <w:r>
        <w:rPr>
          <w:rFonts w:hint="eastAsia" w:eastAsia="仿宋_GB2312"/>
          <w:color w:val="000000"/>
          <w:kern w:val="0"/>
          <w:sz w:val="28"/>
          <w:szCs w:val="28"/>
        </w:rPr>
        <w:t>项试剂</w:t>
      </w:r>
      <w:r>
        <w:rPr>
          <w:rFonts w:eastAsia="仿宋_GB2312"/>
          <w:color w:val="000000"/>
          <w:kern w:val="0"/>
          <w:sz w:val="28"/>
          <w:szCs w:val="28"/>
        </w:rPr>
        <w:t>由第三方公司提前分装，每位选手一套。</w:t>
      </w: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jc w:val="left"/>
        <w:rPr>
          <w:rFonts w:eastAsia="黑体"/>
          <w:b/>
          <w:sz w:val="36"/>
          <w:szCs w:val="36"/>
        </w:rPr>
      </w:pPr>
      <w:r>
        <w:rPr>
          <w:rFonts w:eastAsia="黑体"/>
          <w:b/>
          <w:sz w:val="36"/>
          <w:szCs w:val="36"/>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2023年浙江省职业院校技能大赛高职组</w:t>
      </w:r>
    </w:p>
    <w:p>
      <w:pPr>
        <w:widowControl/>
        <w:adjustRightInd w:val="0"/>
        <w:snapToGrid w:val="0"/>
        <w:spacing w:after="156" w:afterLines="50" w:line="440" w:lineRule="atLeast"/>
        <w:jc w:val="center"/>
        <w:rPr>
          <w:rFonts w:eastAsia="黑体"/>
          <w:b/>
          <w:sz w:val="28"/>
          <w:szCs w:val="28"/>
        </w:rPr>
      </w:pPr>
      <w:r>
        <w:rPr>
          <w:rFonts w:eastAsia="方正小标宋简体"/>
          <w:b/>
          <w:bCs/>
          <w:kern w:val="0"/>
          <w:sz w:val="28"/>
          <w:szCs w:val="28"/>
        </w:rPr>
        <w:t>“生物技术”赛项</w:t>
      </w:r>
      <w:r>
        <w:rPr>
          <w:rFonts w:eastAsia="黑体"/>
          <w:b/>
          <w:sz w:val="28"/>
          <w:szCs w:val="28"/>
        </w:rPr>
        <w:t>竞赛样题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本赛项赛题包含三部分内容：理论考核题、实践操作题、虚拟仿真操作题。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理论考核题主要考查学生生物技术类专业的基本知识和基本技能，包含生物制药、生物化学与分子生物学、微生物与育种，发酵技术、基因工程技术、细胞工程技术、生物安全等内容。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实践操作题主要考查学生生物活性物质的提取与鉴定实验操作，包含磁珠法提取鸡血 DNA 操作、DNA 纯度与浓度分析、清洁与整理、结果报告等任务。</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虚拟仿真操作题主要考查学生生物发酵虚拟仿真操作，通过仿真软件，完成青霉素生产的配液罐操作、连消系统、种子罐操作、发酵罐操作、质量控制、数据记录与处理、CIP的清洗等任务。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样题如下：</w:t>
      </w:r>
    </w:p>
    <w:p>
      <w:pPr>
        <w:pStyle w:val="3"/>
        <w:spacing w:line="360" w:lineRule="auto"/>
        <w:ind w:firstLine="560" w:firstLineChars="200"/>
        <w:rPr>
          <w:rFonts w:ascii="Times New Roman" w:hAnsi="Times New Roman" w:eastAsia="仿宋_GB2312"/>
          <w:bCs/>
          <w:color w:val="000000"/>
          <w:sz w:val="28"/>
          <w:szCs w:val="28"/>
        </w:rPr>
      </w:pPr>
    </w:p>
    <w:p>
      <w:pPr>
        <w:pStyle w:val="3"/>
        <w:spacing w:line="360" w:lineRule="auto"/>
        <w:ind w:firstLine="562" w:firstLineChars="200"/>
        <w:rPr>
          <w:rFonts w:ascii="Times New Roman" w:hAnsi="Times New Roman" w:eastAsia="仿宋_GB2312"/>
          <w:bCs/>
          <w:color w:val="000000"/>
          <w:sz w:val="28"/>
          <w:szCs w:val="28"/>
        </w:rPr>
      </w:pPr>
      <w:r>
        <w:rPr>
          <w:rFonts w:ascii="Times New Roman" w:hAnsi="Times New Roman" w:eastAsia="仿宋_GB2312"/>
          <w:b/>
          <w:color w:val="000000"/>
          <w:sz w:val="28"/>
          <w:szCs w:val="28"/>
        </w:rPr>
        <w:t xml:space="preserve">模块一 理论考核样题：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考核形式为笔试。</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一、单选题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1. 关于分子生物学的发展叙述错误的是( )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A. 研究对象是人体 B.研究蛋白质的结构与功能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C.研究核酸的结构和功能 D. 研究基因结构、表达与调控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二、多选题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1. 微生物发酵工程发酵产物的类型主要包括（ ）。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A.产品是微生物中级代谢产物 B.产品是微生物产生的色素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C.产品是微生物的次级代谢产物 D.产品是微生物产生的毒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E.产品是微生物的初级代谢产物</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三、是非题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 柠檬形酵母通常在果子和浆汁的天然发酵或腐败的早期阶段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发现的。（ ）</w:t>
      </w:r>
    </w:p>
    <w:p>
      <w:pPr>
        <w:pStyle w:val="3"/>
        <w:spacing w:line="360" w:lineRule="auto"/>
        <w:ind w:firstLine="560" w:firstLineChars="200"/>
        <w:rPr>
          <w:rFonts w:ascii="Times New Roman" w:hAnsi="Times New Roman" w:eastAsia="仿宋_GB2312"/>
          <w:bCs/>
          <w:color w:val="000000"/>
          <w:sz w:val="28"/>
          <w:szCs w:val="28"/>
        </w:rPr>
      </w:pPr>
    </w:p>
    <w:p>
      <w:pPr>
        <w:pStyle w:val="3"/>
        <w:spacing w:line="360" w:lineRule="auto"/>
        <w:ind w:firstLine="562" w:firstLineChars="200"/>
        <w:rPr>
          <w:rFonts w:ascii="Times New Roman" w:hAnsi="Times New Roman" w:eastAsia="仿宋_GB2312"/>
          <w:b/>
          <w:color w:val="000000"/>
          <w:sz w:val="28"/>
          <w:szCs w:val="28"/>
        </w:rPr>
      </w:pPr>
      <w:r>
        <w:rPr>
          <w:rFonts w:ascii="Times New Roman" w:hAnsi="Times New Roman" w:eastAsia="仿宋_GB2312"/>
          <w:b/>
          <w:color w:val="000000"/>
          <w:sz w:val="28"/>
          <w:szCs w:val="28"/>
        </w:rPr>
        <w:t>模块二 实践操作考核样题：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本模块采用公开赛题的形式，依照浙江省职业院校技能大赛要求进行公布，具体考核赛题如下。</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1．考核题目</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取15~20 μL抗凝鸡全血，用PBS缓冲液稀释至200 μL，根据指定试剂盒说明书，利用磁珠法分离纯化高质量DNA，并通过核酸蛋白分析仪计对其进行DNA浓度与纯度测定（完成 3 次平行实验），计算平均值和相对标准差，并进行实验记录和数据分析，完成结果报告。</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DNA浓度与纯度检测结果计算公式：</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1）核酸蛋白分析仪进行DNA浓度与纯度检测，并按要求记录。</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2）高质量纯双链DNA  OD260/OD280比值应为1.7至1.9。</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3）高质量纯双链DNA  OD260/OD230比值应大于2.0。</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4）相对标准差计算公式</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根据三个样品DNA含量测定值，计算出RSD。</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 </w:t>
      </w:r>
      <w:r>
        <w:rPr>
          <w:rFonts w:ascii="Times New Roman" w:hAnsi="Times New Roman" w:eastAsia="仿宋_GB2312"/>
          <w:color w:val="000000"/>
          <w:position w:val="-24"/>
          <w:sz w:val="24"/>
        </w:rPr>
        <w:object>
          <v:shape id="_x0000_i1025" o:spt="75" type="#_x0000_t75" style="height:78.75pt;width:186.7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式中：</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X：三次DNA含量测定值的平均值，单位为纳克每微升（ng/μL）；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n：平行样品个数；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xi：每个样品的测定值。</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2.考核内容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考核实验前准备、鸡血基因组DNA提取的实验操作、上机检测进行DNA浓度和纯度测定，实验记录、数据分析与结果报告、清洁与整理等五方面。</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 考核要求</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实验前，需要穿戴实验工作服（帽子、口罩、衣服、鞋套）、手套，做好实验前仪器材料准备和检查工作，确认工作环境情况。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实验操作全程熟练掌握移液器使用。使用磁珠法提取鸡血基因组DNA，安全、稳定完成裂解、结合、洗涤、洗脱等各步骤操作。熟练使用涡旋混合器、磁力架、恒温混匀仪（金属浴）、核酸蛋白分析仪等仪器设备。</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准确记录仪器测定数据，计算相对标准差（使用赛场提供的计算器），完成实验报告等。</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还原比赛工位，清洁与整理。</w:t>
      </w:r>
    </w:p>
    <w:p>
      <w:pPr>
        <w:pStyle w:val="3"/>
        <w:spacing w:line="360" w:lineRule="auto"/>
        <w:ind w:firstLine="562" w:firstLineChars="200"/>
        <w:rPr>
          <w:rFonts w:ascii="Times New Roman" w:hAnsi="Times New Roman" w:eastAsia="仿宋_GB2312"/>
          <w:b/>
          <w:color w:val="000000"/>
          <w:sz w:val="28"/>
          <w:szCs w:val="28"/>
        </w:rPr>
      </w:pPr>
      <w:r>
        <w:rPr>
          <w:rFonts w:ascii="Times New Roman" w:hAnsi="Times New Roman" w:eastAsia="仿宋_GB2312"/>
          <w:b/>
          <w:color w:val="000000"/>
          <w:sz w:val="28"/>
          <w:szCs w:val="28"/>
        </w:rPr>
        <w:t>模块三 虚拟仿真操作考核样题：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本模块采用公开赛题的形式，依照浙江省职业院校技能大赛要求进行公布，具体考核赛题如下。</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1．考核题目</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通过生物发酵仿真软件，每位选手根据工艺规程要求和标准作业流程，独立完成生物发酵的仿真操作。</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2．考核内容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通过虚拟仿真操作系统考核配液罐操作、连消系统、种子罐操作、发酵罐操作、质量控制、数据记录与处理、CIP的清洗等项目，要求能正确完成生物发酵生产全流程的仿真操作，并能对发酵异常情况进行合理的处置，并最终获得较高的发酵产物得率。</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3．考核要求</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虚拟仿真操作过程中听从现场裁判指挥，严格依照操作规程进行，不得故意毁坏电脑设备、切断电源、恶意操作造成死机等，违者取消比赛资格。考核结果由仿真软件自动计分。</w:t>
      </w:r>
    </w:p>
    <w:p>
      <w:pPr>
        <w:widowControl/>
        <w:jc w:val="left"/>
        <w:rPr>
          <w:rFonts w:eastAsia="仿宋_GB2312"/>
          <w:bCs/>
          <w:color w:val="000000"/>
          <w:kern w:val="0"/>
          <w:sz w:val="28"/>
          <w:szCs w:val="28"/>
        </w:rPr>
      </w:pPr>
      <w:r>
        <w:rPr>
          <w:rFonts w:eastAsia="仿宋_GB2312"/>
          <w:bCs/>
          <w:color w:val="000000"/>
          <w:sz w:val="28"/>
          <w:szCs w:val="28"/>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2023年浙江省职业院校技能大赛高职组</w:t>
      </w:r>
    </w:p>
    <w:p>
      <w:pPr>
        <w:widowControl/>
        <w:adjustRightInd w:val="0"/>
        <w:snapToGrid w:val="0"/>
        <w:spacing w:after="156" w:afterLines="50" w:line="440" w:lineRule="atLeast"/>
        <w:jc w:val="center"/>
        <w:rPr>
          <w:rFonts w:eastAsia="黑体"/>
          <w:b/>
          <w:sz w:val="36"/>
          <w:szCs w:val="36"/>
        </w:rPr>
      </w:pPr>
      <w:r>
        <w:rPr>
          <w:rFonts w:eastAsia="方正小标宋简体"/>
          <w:b/>
          <w:bCs/>
          <w:kern w:val="0"/>
          <w:sz w:val="28"/>
          <w:szCs w:val="28"/>
        </w:rPr>
        <w:t>“生物技术”赛项竞赛须知</w:t>
      </w:r>
    </w:p>
    <w:p>
      <w:pPr>
        <w:spacing w:line="360" w:lineRule="auto"/>
        <w:rPr>
          <w:rFonts w:eastAsia="仿宋_GB2312"/>
          <w:b/>
          <w:color w:val="000000"/>
          <w:sz w:val="28"/>
          <w:szCs w:val="28"/>
        </w:rPr>
      </w:pPr>
      <w:r>
        <w:rPr>
          <w:rFonts w:eastAsia="仿宋_GB2312"/>
          <w:b/>
          <w:color w:val="000000"/>
          <w:sz w:val="28"/>
          <w:szCs w:val="28"/>
        </w:rPr>
        <w:t>一、 参赛队须知</w:t>
      </w:r>
    </w:p>
    <w:p>
      <w:pPr>
        <w:spacing w:line="360" w:lineRule="auto"/>
        <w:ind w:firstLine="560" w:firstLineChars="200"/>
        <w:rPr>
          <w:rFonts w:eastAsia="仿宋_GB2312"/>
          <w:color w:val="000000"/>
          <w:sz w:val="28"/>
          <w:szCs w:val="28"/>
        </w:rPr>
      </w:pPr>
      <w:r>
        <w:rPr>
          <w:rFonts w:eastAsia="仿宋_GB2312"/>
          <w:color w:val="000000"/>
          <w:sz w:val="28"/>
          <w:szCs w:val="28"/>
        </w:rPr>
        <w:t>1.参赛队组成：每支参赛队由2名2023年同校在籍高职学生组成，性别和年级不限。</w:t>
      </w:r>
    </w:p>
    <w:p>
      <w:pPr>
        <w:spacing w:line="360" w:lineRule="auto"/>
        <w:ind w:firstLine="560" w:firstLineChars="200"/>
        <w:rPr>
          <w:rFonts w:eastAsia="仿宋_GB2312"/>
          <w:color w:val="000000"/>
          <w:sz w:val="28"/>
          <w:szCs w:val="28"/>
        </w:rPr>
      </w:pPr>
      <w:r>
        <w:rPr>
          <w:rFonts w:eastAsia="仿宋_GB2312"/>
          <w:color w:val="000000"/>
          <w:sz w:val="28"/>
          <w:szCs w:val="28"/>
        </w:rPr>
        <w:t>2.指导教师：每支参赛队可配领队、指导教师共计2名，指导教师经报名并通过资格审查后确定。在比赛期间，领队、指导教师不得进入竞赛场地内，发现违规取消该队参赛资格。</w:t>
      </w:r>
    </w:p>
    <w:p>
      <w:pPr>
        <w:spacing w:line="360" w:lineRule="auto"/>
        <w:rPr>
          <w:rFonts w:eastAsia="仿宋_GB2312"/>
          <w:b/>
          <w:color w:val="000000"/>
          <w:sz w:val="28"/>
          <w:szCs w:val="28"/>
        </w:rPr>
      </w:pPr>
      <w:r>
        <w:rPr>
          <w:rFonts w:eastAsia="仿宋_GB2312"/>
          <w:b/>
          <w:color w:val="000000"/>
          <w:sz w:val="28"/>
          <w:szCs w:val="28"/>
        </w:rPr>
        <w:t>二、竞赛选手须知</w:t>
      </w:r>
    </w:p>
    <w:p>
      <w:pPr>
        <w:spacing w:line="360" w:lineRule="auto"/>
        <w:ind w:firstLine="537" w:firstLineChars="192"/>
        <w:rPr>
          <w:rFonts w:eastAsia="仿宋_GB2312"/>
          <w:color w:val="000000"/>
          <w:sz w:val="28"/>
          <w:szCs w:val="28"/>
        </w:rPr>
      </w:pPr>
      <w:r>
        <w:rPr>
          <w:rFonts w:eastAsia="仿宋_GB2312"/>
          <w:color w:val="000000"/>
          <w:sz w:val="28"/>
          <w:szCs w:val="28"/>
        </w:rPr>
        <w:t>1.参赛选手严格遵守赛场规章、操作规程，保证人身及设备安全，接受裁判员的监督和警示，文明竞赛。</w:t>
      </w:r>
    </w:p>
    <w:p>
      <w:pPr>
        <w:spacing w:line="360" w:lineRule="auto"/>
        <w:ind w:firstLine="560" w:firstLineChars="200"/>
        <w:rPr>
          <w:rFonts w:eastAsia="仿宋_GB2312"/>
          <w:color w:val="000000"/>
          <w:sz w:val="28"/>
          <w:szCs w:val="28"/>
        </w:rPr>
      </w:pPr>
      <w:r>
        <w:rPr>
          <w:rFonts w:eastAsia="仿宋_GB2312"/>
          <w:color w:val="000000"/>
          <w:sz w:val="28"/>
          <w:szCs w:val="28"/>
        </w:rPr>
        <w:t>2.各参赛队应在竞赛开始前一天规定的时间段进入赛场熟悉环境。</w:t>
      </w:r>
    </w:p>
    <w:p>
      <w:pPr>
        <w:spacing w:line="360" w:lineRule="auto"/>
        <w:ind w:firstLine="480"/>
        <w:rPr>
          <w:rFonts w:eastAsia="仿宋_GB2312"/>
          <w:color w:val="000000"/>
          <w:sz w:val="28"/>
          <w:szCs w:val="28"/>
        </w:rPr>
      </w:pPr>
      <w:r>
        <w:rPr>
          <w:rFonts w:eastAsia="仿宋_GB2312"/>
          <w:color w:val="000000"/>
          <w:sz w:val="28"/>
          <w:szCs w:val="28"/>
        </w:rPr>
        <w:t>3.限于竞赛场地设备等条件的制约，实践操作项目的竞赛需要分批进行，选手参加考试的批次和竞赛工位将通过抽签决定。比赛期间参赛选手不得离开比赛场地，如有特殊情况，需经裁判人员同意后方可离开，但离开期间的时间</w:t>
      </w:r>
      <w:r>
        <w:rPr>
          <w:rFonts w:eastAsia="仿宋_GB2312"/>
          <w:sz w:val="28"/>
          <w:szCs w:val="28"/>
        </w:rPr>
        <w:t>一律计算在比赛时间内。</w:t>
      </w:r>
    </w:p>
    <w:p>
      <w:pPr>
        <w:spacing w:line="360" w:lineRule="auto"/>
        <w:ind w:firstLine="560" w:firstLineChars="200"/>
        <w:rPr>
          <w:rFonts w:eastAsia="仿宋_GB2312"/>
          <w:color w:val="000000"/>
          <w:sz w:val="28"/>
          <w:szCs w:val="28"/>
        </w:rPr>
      </w:pPr>
      <w:r>
        <w:rPr>
          <w:rFonts w:eastAsia="仿宋_GB2312"/>
          <w:color w:val="000000"/>
          <w:sz w:val="28"/>
          <w:szCs w:val="28"/>
        </w:rPr>
        <w:t>4.</w:t>
      </w:r>
      <w:r>
        <w:rPr>
          <w:rFonts w:eastAsia="仿宋_GB2312"/>
          <w:sz w:val="28"/>
          <w:szCs w:val="28"/>
        </w:rPr>
        <w:t>每批次参赛选手必须在正式比赛前30分钟到候考室报到</w:t>
      </w:r>
      <w:r>
        <w:rPr>
          <w:rFonts w:eastAsia="仿宋_GB2312"/>
          <w:color w:val="000000"/>
          <w:sz w:val="28"/>
          <w:szCs w:val="28"/>
        </w:rPr>
        <w:t>，报到时应持本人身份证或学生证，并携带（佩戴）大赛组委会签发的参赛证、胸牌。只有等比赛正式开始后，方可进行操作。</w:t>
      </w:r>
    </w:p>
    <w:p>
      <w:pPr>
        <w:spacing w:line="360" w:lineRule="auto"/>
        <w:rPr>
          <w:rFonts w:eastAsia="仿宋_GB2312"/>
          <w:color w:val="000000"/>
          <w:sz w:val="28"/>
          <w:szCs w:val="28"/>
        </w:rPr>
      </w:pPr>
      <w:r>
        <w:rPr>
          <w:rFonts w:eastAsia="仿宋_GB2312"/>
          <w:color w:val="000000"/>
          <w:sz w:val="28"/>
          <w:szCs w:val="28"/>
        </w:rPr>
        <w:t xml:space="preserve">    5.参赛选手进入赛场，不允许携带任何书籍和其他纸质资料（相关技术资料由组委会提供），不允许携带通讯工具和存储设备。实践操作考核项目的操作规程、数据记录纸、签字笔等将由组委会统一提供，现场提供的物品各参赛队可以根据竞赛需要自行选择使用。</w:t>
      </w:r>
    </w:p>
    <w:p>
      <w:pPr>
        <w:spacing w:line="360" w:lineRule="auto"/>
        <w:ind w:firstLine="560" w:firstLineChars="200"/>
        <w:rPr>
          <w:rFonts w:eastAsia="仿宋_GB2312"/>
          <w:sz w:val="28"/>
          <w:szCs w:val="28"/>
        </w:rPr>
      </w:pPr>
      <w:r>
        <w:rPr>
          <w:rFonts w:eastAsia="仿宋_GB2312"/>
          <w:color w:val="000000"/>
          <w:sz w:val="28"/>
          <w:szCs w:val="28"/>
        </w:rPr>
        <w:t>6.</w:t>
      </w:r>
      <w:r>
        <w:rPr>
          <w:rFonts w:eastAsia="仿宋_GB2312"/>
          <w:sz w:val="28"/>
          <w:szCs w:val="28"/>
        </w:rPr>
        <w:t>竞赛时，在收到开赛信号前不得启动操作，各参赛选手需在抽签确定的工位上完成相应竞赛项目，严禁作弊行为。</w:t>
      </w:r>
    </w:p>
    <w:p>
      <w:pPr>
        <w:spacing w:line="360" w:lineRule="auto"/>
        <w:ind w:firstLine="560" w:firstLineChars="200"/>
        <w:rPr>
          <w:rFonts w:eastAsia="仿宋_GB2312"/>
          <w:color w:val="000000"/>
          <w:sz w:val="28"/>
          <w:szCs w:val="28"/>
        </w:rPr>
      </w:pPr>
      <w:r>
        <w:rPr>
          <w:rFonts w:eastAsia="仿宋_GB2312"/>
          <w:color w:val="000000"/>
          <w:sz w:val="28"/>
          <w:szCs w:val="28"/>
        </w:rPr>
        <w:t>7.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spacing w:line="360" w:lineRule="auto"/>
        <w:ind w:firstLine="560" w:firstLineChars="200"/>
        <w:rPr>
          <w:rFonts w:eastAsia="仿宋_GB2312"/>
          <w:color w:val="000000"/>
          <w:sz w:val="28"/>
          <w:szCs w:val="28"/>
        </w:rPr>
      </w:pPr>
      <w:r>
        <w:rPr>
          <w:rFonts w:eastAsia="仿宋_GB2312"/>
          <w:color w:val="000000"/>
          <w:sz w:val="28"/>
          <w:szCs w:val="28"/>
        </w:rPr>
        <w:t>8.在竞赛规定时间结束时各参赛队应立即停止答题或操作，不得以任何理由拖延竞赛时间。参赛队欲提前结束比赛，应向现场裁判员举手示意并记录比赛终止时间，比赛终止后，不得再进行任何与比赛有关的操作。</w:t>
      </w:r>
    </w:p>
    <w:p>
      <w:pPr>
        <w:spacing w:line="360" w:lineRule="auto"/>
        <w:ind w:firstLine="560" w:firstLineChars="200"/>
        <w:rPr>
          <w:rFonts w:eastAsia="仿宋_GB2312"/>
          <w:color w:val="000000"/>
          <w:sz w:val="28"/>
          <w:szCs w:val="28"/>
        </w:rPr>
      </w:pPr>
      <w:r>
        <w:rPr>
          <w:rFonts w:eastAsia="仿宋_GB2312"/>
          <w:color w:val="000000"/>
          <w:sz w:val="28"/>
          <w:szCs w:val="28"/>
        </w:rPr>
        <w:t>9.竞赛操作结束时，各参赛队要按照大赛要求和赛题要求提交竞赛材料，按照现场考试要求的名字进行命名，如不符合命名规则，体现单位信息与编号信息的，该队竞赛成绩将被取消。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18</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B2C9A"/>
    <w:multiLevelType w:val="multilevel"/>
    <w:tmpl w:val="77FB2C9A"/>
    <w:lvl w:ilvl="0" w:tentative="0">
      <w:start w:val="1"/>
      <w:numFmt w:val="decimalFullWidth"/>
      <w:lvlText w:val="%1."/>
      <w:lvlJc w:val="left"/>
      <w:pPr>
        <w:ind w:left="7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DE5ZjE0NjU4MzA5NWVkYzUwNjcxOTk1ODJmMDUifQ=="/>
  </w:docVars>
  <w:rsids>
    <w:rsidRoot w:val="008B5715"/>
    <w:rsid w:val="00001BD7"/>
    <w:rsid w:val="00003944"/>
    <w:rsid w:val="00004723"/>
    <w:rsid w:val="00007D11"/>
    <w:rsid w:val="00012CCB"/>
    <w:rsid w:val="00013505"/>
    <w:rsid w:val="0001354A"/>
    <w:rsid w:val="00013D2B"/>
    <w:rsid w:val="0001448F"/>
    <w:rsid w:val="000203AF"/>
    <w:rsid w:val="000220D6"/>
    <w:rsid w:val="00026BD6"/>
    <w:rsid w:val="0002759A"/>
    <w:rsid w:val="00027C44"/>
    <w:rsid w:val="0003082F"/>
    <w:rsid w:val="00032569"/>
    <w:rsid w:val="00035732"/>
    <w:rsid w:val="00036A01"/>
    <w:rsid w:val="00037497"/>
    <w:rsid w:val="00042613"/>
    <w:rsid w:val="0004547E"/>
    <w:rsid w:val="0004627F"/>
    <w:rsid w:val="0004791C"/>
    <w:rsid w:val="00051EF4"/>
    <w:rsid w:val="00064B8B"/>
    <w:rsid w:val="0006621C"/>
    <w:rsid w:val="0007299A"/>
    <w:rsid w:val="0007560C"/>
    <w:rsid w:val="00080955"/>
    <w:rsid w:val="00080E58"/>
    <w:rsid w:val="00081127"/>
    <w:rsid w:val="000821DA"/>
    <w:rsid w:val="00084B1A"/>
    <w:rsid w:val="000851A6"/>
    <w:rsid w:val="00086FA3"/>
    <w:rsid w:val="000874D1"/>
    <w:rsid w:val="00096518"/>
    <w:rsid w:val="000B0B13"/>
    <w:rsid w:val="000C7257"/>
    <w:rsid w:val="000D0401"/>
    <w:rsid w:val="000D31E9"/>
    <w:rsid w:val="000D364E"/>
    <w:rsid w:val="000D55CB"/>
    <w:rsid w:val="000D677E"/>
    <w:rsid w:val="000D6C3D"/>
    <w:rsid w:val="000E0189"/>
    <w:rsid w:val="000E0F69"/>
    <w:rsid w:val="000E29B1"/>
    <w:rsid w:val="000E6B77"/>
    <w:rsid w:val="000F26BB"/>
    <w:rsid w:val="000F2D58"/>
    <w:rsid w:val="00100504"/>
    <w:rsid w:val="00102943"/>
    <w:rsid w:val="00103AB3"/>
    <w:rsid w:val="00104B52"/>
    <w:rsid w:val="00104DD5"/>
    <w:rsid w:val="00105BBF"/>
    <w:rsid w:val="00113435"/>
    <w:rsid w:val="0011568D"/>
    <w:rsid w:val="00115DB6"/>
    <w:rsid w:val="001178F4"/>
    <w:rsid w:val="00120199"/>
    <w:rsid w:val="0012275B"/>
    <w:rsid w:val="00131BFD"/>
    <w:rsid w:val="00135A86"/>
    <w:rsid w:val="0013746F"/>
    <w:rsid w:val="00142CC9"/>
    <w:rsid w:val="00143952"/>
    <w:rsid w:val="001515BF"/>
    <w:rsid w:val="001520D9"/>
    <w:rsid w:val="00153041"/>
    <w:rsid w:val="001536D2"/>
    <w:rsid w:val="0015775D"/>
    <w:rsid w:val="001605F7"/>
    <w:rsid w:val="001631F9"/>
    <w:rsid w:val="00167742"/>
    <w:rsid w:val="00171C24"/>
    <w:rsid w:val="00180266"/>
    <w:rsid w:val="0018438F"/>
    <w:rsid w:val="00191909"/>
    <w:rsid w:val="00194E24"/>
    <w:rsid w:val="001A0DA4"/>
    <w:rsid w:val="001A1A71"/>
    <w:rsid w:val="001B180A"/>
    <w:rsid w:val="001B2059"/>
    <w:rsid w:val="001B21F0"/>
    <w:rsid w:val="001C1B76"/>
    <w:rsid w:val="001C3EB3"/>
    <w:rsid w:val="001C48F8"/>
    <w:rsid w:val="001C5115"/>
    <w:rsid w:val="001C6B7D"/>
    <w:rsid w:val="001D26F9"/>
    <w:rsid w:val="001D290E"/>
    <w:rsid w:val="001E0316"/>
    <w:rsid w:val="001E6A86"/>
    <w:rsid w:val="001F4B85"/>
    <w:rsid w:val="001F5961"/>
    <w:rsid w:val="0020060E"/>
    <w:rsid w:val="002029CE"/>
    <w:rsid w:val="002057CE"/>
    <w:rsid w:val="002069EC"/>
    <w:rsid w:val="00212500"/>
    <w:rsid w:val="00216E80"/>
    <w:rsid w:val="002175BB"/>
    <w:rsid w:val="002271AE"/>
    <w:rsid w:val="00230438"/>
    <w:rsid w:val="002322E0"/>
    <w:rsid w:val="00242224"/>
    <w:rsid w:val="002422C2"/>
    <w:rsid w:val="00242A58"/>
    <w:rsid w:val="00244B5A"/>
    <w:rsid w:val="00245C2A"/>
    <w:rsid w:val="0025290D"/>
    <w:rsid w:val="00253143"/>
    <w:rsid w:val="0025404F"/>
    <w:rsid w:val="0025509A"/>
    <w:rsid w:val="002602D1"/>
    <w:rsid w:val="002622A5"/>
    <w:rsid w:val="002625AC"/>
    <w:rsid w:val="00270A5A"/>
    <w:rsid w:val="00270DB0"/>
    <w:rsid w:val="002711FF"/>
    <w:rsid w:val="0027268C"/>
    <w:rsid w:val="002755A0"/>
    <w:rsid w:val="002914A6"/>
    <w:rsid w:val="002917E4"/>
    <w:rsid w:val="002935CE"/>
    <w:rsid w:val="00293CF4"/>
    <w:rsid w:val="002945B4"/>
    <w:rsid w:val="00295587"/>
    <w:rsid w:val="002A60ED"/>
    <w:rsid w:val="002B0012"/>
    <w:rsid w:val="002B53C5"/>
    <w:rsid w:val="002B578C"/>
    <w:rsid w:val="002B6BC2"/>
    <w:rsid w:val="002C0AD5"/>
    <w:rsid w:val="002C2AF6"/>
    <w:rsid w:val="002C4855"/>
    <w:rsid w:val="002C632E"/>
    <w:rsid w:val="002C74FC"/>
    <w:rsid w:val="002D0127"/>
    <w:rsid w:val="002D0D88"/>
    <w:rsid w:val="002D2388"/>
    <w:rsid w:val="002D2FE8"/>
    <w:rsid w:val="002D3AE5"/>
    <w:rsid w:val="002D58B3"/>
    <w:rsid w:val="002D6B56"/>
    <w:rsid w:val="002E4FAE"/>
    <w:rsid w:val="002F2605"/>
    <w:rsid w:val="00300C3F"/>
    <w:rsid w:val="00304518"/>
    <w:rsid w:val="00307758"/>
    <w:rsid w:val="003078B8"/>
    <w:rsid w:val="0031218E"/>
    <w:rsid w:val="00312E37"/>
    <w:rsid w:val="00315B0B"/>
    <w:rsid w:val="00316C02"/>
    <w:rsid w:val="00317B99"/>
    <w:rsid w:val="003228E3"/>
    <w:rsid w:val="00322A3A"/>
    <w:rsid w:val="00324092"/>
    <w:rsid w:val="00325501"/>
    <w:rsid w:val="00331DB4"/>
    <w:rsid w:val="00337F9B"/>
    <w:rsid w:val="003410BC"/>
    <w:rsid w:val="00344C58"/>
    <w:rsid w:val="00352791"/>
    <w:rsid w:val="0035590B"/>
    <w:rsid w:val="00356C43"/>
    <w:rsid w:val="00357976"/>
    <w:rsid w:val="0036037B"/>
    <w:rsid w:val="00360B59"/>
    <w:rsid w:val="00363ED8"/>
    <w:rsid w:val="00373975"/>
    <w:rsid w:val="00391F62"/>
    <w:rsid w:val="00394CB5"/>
    <w:rsid w:val="00395416"/>
    <w:rsid w:val="003A2FFB"/>
    <w:rsid w:val="003A5F02"/>
    <w:rsid w:val="003A77B4"/>
    <w:rsid w:val="003B42D8"/>
    <w:rsid w:val="003B5A74"/>
    <w:rsid w:val="003B691D"/>
    <w:rsid w:val="003B714E"/>
    <w:rsid w:val="003C05BD"/>
    <w:rsid w:val="003C1514"/>
    <w:rsid w:val="003C1A84"/>
    <w:rsid w:val="003C32FD"/>
    <w:rsid w:val="003C5651"/>
    <w:rsid w:val="003C61F7"/>
    <w:rsid w:val="003C643B"/>
    <w:rsid w:val="003C7174"/>
    <w:rsid w:val="003C7CE4"/>
    <w:rsid w:val="003D06CE"/>
    <w:rsid w:val="003D2993"/>
    <w:rsid w:val="003D3EF5"/>
    <w:rsid w:val="003D430C"/>
    <w:rsid w:val="003D72A8"/>
    <w:rsid w:val="003E293D"/>
    <w:rsid w:val="003E49ED"/>
    <w:rsid w:val="003E7F75"/>
    <w:rsid w:val="003F0E39"/>
    <w:rsid w:val="003F3A5C"/>
    <w:rsid w:val="004030B0"/>
    <w:rsid w:val="0040327D"/>
    <w:rsid w:val="00404142"/>
    <w:rsid w:val="00404FA4"/>
    <w:rsid w:val="00420B80"/>
    <w:rsid w:val="004253ED"/>
    <w:rsid w:val="00431C7F"/>
    <w:rsid w:val="00433FEE"/>
    <w:rsid w:val="00436D50"/>
    <w:rsid w:val="00444701"/>
    <w:rsid w:val="004622A6"/>
    <w:rsid w:val="004668D7"/>
    <w:rsid w:val="00475E76"/>
    <w:rsid w:val="00480326"/>
    <w:rsid w:val="00482AC8"/>
    <w:rsid w:val="00493A6F"/>
    <w:rsid w:val="0049539B"/>
    <w:rsid w:val="004954BF"/>
    <w:rsid w:val="00497258"/>
    <w:rsid w:val="004B1632"/>
    <w:rsid w:val="004B2F5A"/>
    <w:rsid w:val="004C049F"/>
    <w:rsid w:val="004C27B5"/>
    <w:rsid w:val="004C4C05"/>
    <w:rsid w:val="004C4FFE"/>
    <w:rsid w:val="004C7768"/>
    <w:rsid w:val="004D2EB2"/>
    <w:rsid w:val="004E03A2"/>
    <w:rsid w:val="0050108B"/>
    <w:rsid w:val="00502DA8"/>
    <w:rsid w:val="00511E46"/>
    <w:rsid w:val="00516987"/>
    <w:rsid w:val="00520B82"/>
    <w:rsid w:val="005232CD"/>
    <w:rsid w:val="00524593"/>
    <w:rsid w:val="00525081"/>
    <w:rsid w:val="005253BD"/>
    <w:rsid w:val="0052708A"/>
    <w:rsid w:val="00532A38"/>
    <w:rsid w:val="00536D59"/>
    <w:rsid w:val="00545061"/>
    <w:rsid w:val="00560188"/>
    <w:rsid w:val="00563850"/>
    <w:rsid w:val="00564545"/>
    <w:rsid w:val="00567C90"/>
    <w:rsid w:val="00580D40"/>
    <w:rsid w:val="00581ED6"/>
    <w:rsid w:val="005904E8"/>
    <w:rsid w:val="00593007"/>
    <w:rsid w:val="00593119"/>
    <w:rsid w:val="0059471D"/>
    <w:rsid w:val="005A2AA4"/>
    <w:rsid w:val="005A7A07"/>
    <w:rsid w:val="005B2BD6"/>
    <w:rsid w:val="005C1247"/>
    <w:rsid w:val="005C2D7E"/>
    <w:rsid w:val="005C4987"/>
    <w:rsid w:val="005D0B54"/>
    <w:rsid w:val="005D432C"/>
    <w:rsid w:val="005D4A30"/>
    <w:rsid w:val="005E0FE8"/>
    <w:rsid w:val="005E3D2C"/>
    <w:rsid w:val="005E4411"/>
    <w:rsid w:val="005E562F"/>
    <w:rsid w:val="005E7DEA"/>
    <w:rsid w:val="005F126E"/>
    <w:rsid w:val="005F3BBB"/>
    <w:rsid w:val="006023BA"/>
    <w:rsid w:val="006038CE"/>
    <w:rsid w:val="00604337"/>
    <w:rsid w:val="00606012"/>
    <w:rsid w:val="00606143"/>
    <w:rsid w:val="006067F0"/>
    <w:rsid w:val="006104C2"/>
    <w:rsid w:val="006112A3"/>
    <w:rsid w:val="0061409D"/>
    <w:rsid w:val="00617722"/>
    <w:rsid w:val="006207B0"/>
    <w:rsid w:val="00620D81"/>
    <w:rsid w:val="00623DF2"/>
    <w:rsid w:val="00625045"/>
    <w:rsid w:val="00631CCC"/>
    <w:rsid w:val="006421FC"/>
    <w:rsid w:val="00656603"/>
    <w:rsid w:val="00656DEE"/>
    <w:rsid w:val="006615F7"/>
    <w:rsid w:val="00670622"/>
    <w:rsid w:val="00671CB9"/>
    <w:rsid w:val="006745AB"/>
    <w:rsid w:val="00680878"/>
    <w:rsid w:val="0068118D"/>
    <w:rsid w:val="00681438"/>
    <w:rsid w:val="006816F7"/>
    <w:rsid w:val="00686CE6"/>
    <w:rsid w:val="006937B9"/>
    <w:rsid w:val="00694FC1"/>
    <w:rsid w:val="00696241"/>
    <w:rsid w:val="00696C4F"/>
    <w:rsid w:val="006A034F"/>
    <w:rsid w:val="006A6C4A"/>
    <w:rsid w:val="006A78D3"/>
    <w:rsid w:val="006B055C"/>
    <w:rsid w:val="006B1BC7"/>
    <w:rsid w:val="006B2486"/>
    <w:rsid w:val="006B5607"/>
    <w:rsid w:val="006B784E"/>
    <w:rsid w:val="006B7972"/>
    <w:rsid w:val="006C22B2"/>
    <w:rsid w:val="006C3393"/>
    <w:rsid w:val="006D25D8"/>
    <w:rsid w:val="006D6A7D"/>
    <w:rsid w:val="006D75D2"/>
    <w:rsid w:val="006E27DC"/>
    <w:rsid w:val="006E44BF"/>
    <w:rsid w:val="006F0F77"/>
    <w:rsid w:val="006F0FCA"/>
    <w:rsid w:val="006F4043"/>
    <w:rsid w:val="006F5664"/>
    <w:rsid w:val="00700906"/>
    <w:rsid w:val="00701531"/>
    <w:rsid w:val="007031A2"/>
    <w:rsid w:val="00706406"/>
    <w:rsid w:val="00710C46"/>
    <w:rsid w:val="00714B7E"/>
    <w:rsid w:val="007177B9"/>
    <w:rsid w:val="007251E6"/>
    <w:rsid w:val="00735FB5"/>
    <w:rsid w:val="0073665E"/>
    <w:rsid w:val="007374F1"/>
    <w:rsid w:val="007411C7"/>
    <w:rsid w:val="00745BD3"/>
    <w:rsid w:val="00746680"/>
    <w:rsid w:val="0075034D"/>
    <w:rsid w:val="00754488"/>
    <w:rsid w:val="00760A54"/>
    <w:rsid w:val="007614CE"/>
    <w:rsid w:val="00767B14"/>
    <w:rsid w:val="00774F2D"/>
    <w:rsid w:val="00777234"/>
    <w:rsid w:val="00786F64"/>
    <w:rsid w:val="007911A3"/>
    <w:rsid w:val="007944AF"/>
    <w:rsid w:val="0079635B"/>
    <w:rsid w:val="0079748C"/>
    <w:rsid w:val="007A297B"/>
    <w:rsid w:val="007A49B6"/>
    <w:rsid w:val="007A4D73"/>
    <w:rsid w:val="007A6F95"/>
    <w:rsid w:val="007B1612"/>
    <w:rsid w:val="007B4227"/>
    <w:rsid w:val="007C0B05"/>
    <w:rsid w:val="007C195E"/>
    <w:rsid w:val="007C2F6E"/>
    <w:rsid w:val="007C5D13"/>
    <w:rsid w:val="007C7738"/>
    <w:rsid w:val="007D197D"/>
    <w:rsid w:val="007D3AAF"/>
    <w:rsid w:val="007D417B"/>
    <w:rsid w:val="007D6E61"/>
    <w:rsid w:val="007F42E9"/>
    <w:rsid w:val="007F5D5E"/>
    <w:rsid w:val="007F6154"/>
    <w:rsid w:val="007F7091"/>
    <w:rsid w:val="0080097C"/>
    <w:rsid w:val="008012FE"/>
    <w:rsid w:val="00802357"/>
    <w:rsid w:val="00810061"/>
    <w:rsid w:val="00812105"/>
    <w:rsid w:val="0081246A"/>
    <w:rsid w:val="00816DFD"/>
    <w:rsid w:val="00820EE8"/>
    <w:rsid w:val="00823C18"/>
    <w:rsid w:val="00825796"/>
    <w:rsid w:val="0082619D"/>
    <w:rsid w:val="008272CC"/>
    <w:rsid w:val="008320F2"/>
    <w:rsid w:val="008350F4"/>
    <w:rsid w:val="00840A84"/>
    <w:rsid w:val="00840C1F"/>
    <w:rsid w:val="00841DDB"/>
    <w:rsid w:val="00842CBA"/>
    <w:rsid w:val="0085692C"/>
    <w:rsid w:val="0085716E"/>
    <w:rsid w:val="00857C9E"/>
    <w:rsid w:val="00862CD9"/>
    <w:rsid w:val="00863D79"/>
    <w:rsid w:val="008670EF"/>
    <w:rsid w:val="00870429"/>
    <w:rsid w:val="00873648"/>
    <w:rsid w:val="008754FE"/>
    <w:rsid w:val="008775AE"/>
    <w:rsid w:val="00880027"/>
    <w:rsid w:val="00883905"/>
    <w:rsid w:val="00885632"/>
    <w:rsid w:val="00886274"/>
    <w:rsid w:val="008865EC"/>
    <w:rsid w:val="00894E5C"/>
    <w:rsid w:val="00895A52"/>
    <w:rsid w:val="008A1BF0"/>
    <w:rsid w:val="008A2582"/>
    <w:rsid w:val="008B5715"/>
    <w:rsid w:val="008B6B42"/>
    <w:rsid w:val="008C129F"/>
    <w:rsid w:val="008C73DC"/>
    <w:rsid w:val="008C760B"/>
    <w:rsid w:val="008D17C9"/>
    <w:rsid w:val="008D38E2"/>
    <w:rsid w:val="008D7AAC"/>
    <w:rsid w:val="008F578A"/>
    <w:rsid w:val="0090261D"/>
    <w:rsid w:val="009077CF"/>
    <w:rsid w:val="00907B5D"/>
    <w:rsid w:val="00913320"/>
    <w:rsid w:val="00913538"/>
    <w:rsid w:val="00915A64"/>
    <w:rsid w:val="00917D66"/>
    <w:rsid w:val="0092284D"/>
    <w:rsid w:val="00926C07"/>
    <w:rsid w:val="00930CF4"/>
    <w:rsid w:val="0093502B"/>
    <w:rsid w:val="00937329"/>
    <w:rsid w:val="00943E65"/>
    <w:rsid w:val="009444A3"/>
    <w:rsid w:val="009517B9"/>
    <w:rsid w:val="00955894"/>
    <w:rsid w:val="009569B4"/>
    <w:rsid w:val="009609E1"/>
    <w:rsid w:val="009612DC"/>
    <w:rsid w:val="0096475F"/>
    <w:rsid w:val="00966DD7"/>
    <w:rsid w:val="0097311C"/>
    <w:rsid w:val="00981D3C"/>
    <w:rsid w:val="009875D6"/>
    <w:rsid w:val="0099393D"/>
    <w:rsid w:val="009A0DCB"/>
    <w:rsid w:val="009A36D2"/>
    <w:rsid w:val="009A4EF8"/>
    <w:rsid w:val="009A6006"/>
    <w:rsid w:val="009B1EE9"/>
    <w:rsid w:val="009B37B7"/>
    <w:rsid w:val="009B662B"/>
    <w:rsid w:val="009C0282"/>
    <w:rsid w:val="009C04D9"/>
    <w:rsid w:val="009C0F27"/>
    <w:rsid w:val="009C3AE2"/>
    <w:rsid w:val="009C429D"/>
    <w:rsid w:val="009C54C4"/>
    <w:rsid w:val="009C7ADC"/>
    <w:rsid w:val="009C7EC6"/>
    <w:rsid w:val="009D131E"/>
    <w:rsid w:val="009D1D5A"/>
    <w:rsid w:val="009D5F01"/>
    <w:rsid w:val="009D69BC"/>
    <w:rsid w:val="009E1858"/>
    <w:rsid w:val="009E38BD"/>
    <w:rsid w:val="009E4DAE"/>
    <w:rsid w:val="009E5604"/>
    <w:rsid w:val="009F0770"/>
    <w:rsid w:val="009F20E1"/>
    <w:rsid w:val="00A0552F"/>
    <w:rsid w:val="00A07BEB"/>
    <w:rsid w:val="00A10CB9"/>
    <w:rsid w:val="00A153BD"/>
    <w:rsid w:val="00A15DA8"/>
    <w:rsid w:val="00A20F8F"/>
    <w:rsid w:val="00A22455"/>
    <w:rsid w:val="00A32738"/>
    <w:rsid w:val="00A35D6E"/>
    <w:rsid w:val="00A4024A"/>
    <w:rsid w:val="00A44ABB"/>
    <w:rsid w:val="00A511EC"/>
    <w:rsid w:val="00A51994"/>
    <w:rsid w:val="00A53161"/>
    <w:rsid w:val="00A60920"/>
    <w:rsid w:val="00A64F16"/>
    <w:rsid w:val="00A71D4F"/>
    <w:rsid w:val="00A72E2A"/>
    <w:rsid w:val="00A75C1C"/>
    <w:rsid w:val="00A75D99"/>
    <w:rsid w:val="00A83405"/>
    <w:rsid w:val="00A83881"/>
    <w:rsid w:val="00A87238"/>
    <w:rsid w:val="00A93762"/>
    <w:rsid w:val="00A944EC"/>
    <w:rsid w:val="00AA0DCF"/>
    <w:rsid w:val="00AA10D7"/>
    <w:rsid w:val="00AA3479"/>
    <w:rsid w:val="00AA57F9"/>
    <w:rsid w:val="00AA6E68"/>
    <w:rsid w:val="00AB2B50"/>
    <w:rsid w:val="00AB7996"/>
    <w:rsid w:val="00AC4DCC"/>
    <w:rsid w:val="00AD1DA0"/>
    <w:rsid w:val="00AD35ED"/>
    <w:rsid w:val="00AD4905"/>
    <w:rsid w:val="00AE0F70"/>
    <w:rsid w:val="00AE5238"/>
    <w:rsid w:val="00AE56AE"/>
    <w:rsid w:val="00AE7364"/>
    <w:rsid w:val="00AE7FBE"/>
    <w:rsid w:val="00AF08FE"/>
    <w:rsid w:val="00AF0B4C"/>
    <w:rsid w:val="00AF1F60"/>
    <w:rsid w:val="00AF5232"/>
    <w:rsid w:val="00AF6D03"/>
    <w:rsid w:val="00AF7023"/>
    <w:rsid w:val="00B04CA4"/>
    <w:rsid w:val="00B067A4"/>
    <w:rsid w:val="00B07EF7"/>
    <w:rsid w:val="00B12A1A"/>
    <w:rsid w:val="00B14709"/>
    <w:rsid w:val="00B14B42"/>
    <w:rsid w:val="00B14E28"/>
    <w:rsid w:val="00B15CED"/>
    <w:rsid w:val="00B168AA"/>
    <w:rsid w:val="00B16C51"/>
    <w:rsid w:val="00B228AB"/>
    <w:rsid w:val="00B24DFC"/>
    <w:rsid w:val="00B328F0"/>
    <w:rsid w:val="00B33EE8"/>
    <w:rsid w:val="00B3468C"/>
    <w:rsid w:val="00B3711F"/>
    <w:rsid w:val="00B405B8"/>
    <w:rsid w:val="00B466F7"/>
    <w:rsid w:val="00B52C33"/>
    <w:rsid w:val="00B53106"/>
    <w:rsid w:val="00B5541D"/>
    <w:rsid w:val="00B55B6F"/>
    <w:rsid w:val="00B6257A"/>
    <w:rsid w:val="00B6551A"/>
    <w:rsid w:val="00B6773B"/>
    <w:rsid w:val="00B76380"/>
    <w:rsid w:val="00B765F9"/>
    <w:rsid w:val="00B80BE1"/>
    <w:rsid w:val="00B812D3"/>
    <w:rsid w:val="00B939D0"/>
    <w:rsid w:val="00B96DD7"/>
    <w:rsid w:val="00BA4936"/>
    <w:rsid w:val="00BA7F1A"/>
    <w:rsid w:val="00BB07D9"/>
    <w:rsid w:val="00BB0979"/>
    <w:rsid w:val="00BB097E"/>
    <w:rsid w:val="00BB289C"/>
    <w:rsid w:val="00BB30CE"/>
    <w:rsid w:val="00BB3213"/>
    <w:rsid w:val="00BB55C5"/>
    <w:rsid w:val="00BB6A36"/>
    <w:rsid w:val="00BC6BBD"/>
    <w:rsid w:val="00BC6E93"/>
    <w:rsid w:val="00BE62D1"/>
    <w:rsid w:val="00BE69F8"/>
    <w:rsid w:val="00BF22B2"/>
    <w:rsid w:val="00BF3C63"/>
    <w:rsid w:val="00C00CE3"/>
    <w:rsid w:val="00C012FE"/>
    <w:rsid w:val="00C031F7"/>
    <w:rsid w:val="00C040EE"/>
    <w:rsid w:val="00C05EC3"/>
    <w:rsid w:val="00C1090D"/>
    <w:rsid w:val="00C12051"/>
    <w:rsid w:val="00C1779C"/>
    <w:rsid w:val="00C201CB"/>
    <w:rsid w:val="00C22B85"/>
    <w:rsid w:val="00C23AA5"/>
    <w:rsid w:val="00C2435E"/>
    <w:rsid w:val="00C27541"/>
    <w:rsid w:val="00C27B69"/>
    <w:rsid w:val="00C37360"/>
    <w:rsid w:val="00C373D8"/>
    <w:rsid w:val="00C41743"/>
    <w:rsid w:val="00C419ED"/>
    <w:rsid w:val="00C41EF0"/>
    <w:rsid w:val="00C437D0"/>
    <w:rsid w:val="00C52C10"/>
    <w:rsid w:val="00C5503E"/>
    <w:rsid w:val="00C5538F"/>
    <w:rsid w:val="00C56425"/>
    <w:rsid w:val="00C57648"/>
    <w:rsid w:val="00C607E6"/>
    <w:rsid w:val="00C63360"/>
    <w:rsid w:val="00C645D9"/>
    <w:rsid w:val="00C65B22"/>
    <w:rsid w:val="00C70EEB"/>
    <w:rsid w:val="00C805F8"/>
    <w:rsid w:val="00C8172B"/>
    <w:rsid w:val="00C851FD"/>
    <w:rsid w:val="00C8568C"/>
    <w:rsid w:val="00C87D4F"/>
    <w:rsid w:val="00C91063"/>
    <w:rsid w:val="00C93EFC"/>
    <w:rsid w:val="00CA5393"/>
    <w:rsid w:val="00CA7D5F"/>
    <w:rsid w:val="00CB22BF"/>
    <w:rsid w:val="00CB31C9"/>
    <w:rsid w:val="00CB41A7"/>
    <w:rsid w:val="00CB56BD"/>
    <w:rsid w:val="00CC1F36"/>
    <w:rsid w:val="00CD3CE7"/>
    <w:rsid w:val="00CD6298"/>
    <w:rsid w:val="00CE0E59"/>
    <w:rsid w:val="00CE391B"/>
    <w:rsid w:val="00CE601E"/>
    <w:rsid w:val="00CE6278"/>
    <w:rsid w:val="00CE69EF"/>
    <w:rsid w:val="00CE72A3"/>
    <w:rsid w:val="00CF0853"/>
    <w:rsid w:val="00CF0BF5"/>
    <w:rsid w:val="00D00BE0"/>
    <w:rsid w:val="00D02B34"/>
    <w:rsid w:val="00D1255A"/>
    <w:rsid w:val="00D21348"/>
    <w:rsid w:val="00D267EE"/>
    <w:rsid w:val="00D316F4"/>
    <w:rsid w:val="00D338DE"/>
    <w:rsid w:val="00D36FE1"/>
    <w:rsid w:val="00D40739"/>
    <w:rsid w:val="00D42C60"/>
    <w:rsid w:val="00D46AB3"/>
    <w:rsid w:val="00D53499"/>
    <w:rsid w:val="00D53F2B"/>
    <w:rsid w:val="00D54F1B"/>
    <w:rsid w:val="00D55A77"/>
    <w:rsid w:val="00D55C66"/>
    <w:rsid w:val="00D6099A"/>
    <w:rsid w:val="00D61436"/>
    <w:rsid w:val="00D617A6"/>
    <w:rsid w:val="00D61F59"/>
    <w:rsid w:val="00D72F5D"/>
    <w:rsid w:val="00D73008"/>
    <w:rsid w:val="00D77035"/>
    <w:rsid w:val="00D77131"/>
    <w:rsid w:val="00D86000"/>
    <w:rsid w:val="00D931AE"/>
    <w:rsid w:val="00D9485B"/>
    <w:rsid w:val="00D96236"/>
    <w:rsid w:val="00D96F92"/>
    <w:rsid w:val="00D975D4"/>
    <w:rsid w:val="00D97FB5"/>
    <w:rsid w:val="00DB157E"/>
    <w:rsid w:val="00DB4902"/>
    <w:rsid w:val="00DC1621"/>
    <w:rsid w:val="00DC5088"/>
    <w:rsid w:val="00DC5FBC"/>
    <w:rsid w:val="00DC797F"/>
    <w:rsid w:val="00DD73C8"/>
    <w:rsid w:val="00DE3549"/>
    <w:rsid w:val="00DE77D3"/>
    <w:rsid w:val="00DF4373"/>
    <w:rsid w:val="00DF4C4F"/>
    <w:rsid w:val="00DF5545"/>
    <w:rsid w:val="00DF5CEF"/>
    <w:rsid w:val="00E03413"/>
    <w:rsid w:val="00E1155B"/>
    <w:rsid w:val="00E1242F"/>
    <w:rsid w:val="00E2032E"/>
    <w:rsid w:val="00E26C30"/>
    <w:rsid w:val="00E330F2"/>
    <w:rsid w:val="00E3427F"/>
    <w:rsid w:val="00E41AE0"/>
    <w:rsid w:val="00E46194"/>
    <w:rsid w:val="00E46C40"/>
    <w:rsid w:val="00E47DC9"/>
    <w:rsid w:val="00E47EFA"/>
    <w:rsid w:val="00E517A2"/>
    <w:rsid w:val="00E57374"/>
    <w:rsid w:val="00E6113B"/>
    <w:rsid w:val="00E614BE"/>
    <w:rsid w:val="00E627AE"/>
    <w:rsid w:val="00E670B9"/>
    <w:rsid w:val="00E710AE"/>
    <w:rsid w:val="00E73FAF"/>
    <w:rsid w:val="00E7757E"/>
    <w:rsid w:val="00E828E5"/>
    <w:rsid w:val="00E8464B"/>
    <w:rsid w:val="00E86659"/>
    <w:rsid w:val="00E92E1A"/>
    <w:rsid w:val="00E973D7"/>
    <w:rsid w:val="00E97AE0"/>
    <w:rsid w:val="00EA1B08"/>
    <w:rsid w:val="00EA1CD8"/>
    <w:rsid w:val="00EA29FD"/>
    <w:rsid w:val="00EA3C3F"/>
    <w:rsid w:val="00EA72C9"/>
    <w:rsid w:val="00EB735D"/>
    <w:rsid w:val="00EC1DFD"/>
    <w:rsid w:val="00EC35AC"/>
    <w:rsid w:val="00EC7C51"/>
    <w:rsid w:val="00ED0676"/>
    <w:rsid w:val="00ED1EE3"/>
    <w:rsid w:val="00ED442E"/>
    <w:rsid w:val="00EE0554"/>
    <w:rsid w:val="00EE472B"/>
    <w:rsid w:val="00EF2686"/>
    <w:rsid w:val="00F01B22"/>
    <w:rsid w:val="00F025EC"/>
    <w:rsid w:val="00F0389C"/>
    <w:rsid w:val="00F03EC0"/>
    <w:rsid w:val="00F0483F"/>
    <w:rsid w:val="00F11D16"/>
    <w:rsid w:val="00F1586F"/>
    <w:rsid w:val="00F17789"/>
    <w:rsid w:val="00F3305F"/>
    <w:rsid w:val="00F369E6"/>
    <w:rsid w:val="00F47ABA"/>
    <w:rsid w:val="00F5037B"/>
    <w:rsid w:val="00F50FE2"/>
    <w:rsid w:val="00F51513"/>
    <w:rsid w:val="00F52A25"/>
    <w:rsid w:val="00F56D73"/>
    <w:rsid w:val="00F6059F"/>
    <w:rsid w:val="00F66228"/>
    <w:rsid w:val="00F666B5"/>
    <w:rsid w:val="00F72ED1"/>
    <w:rsid w:val="00F848EF"/>
    <w:rsid w:val="00F8617E"/>
    <w:rsid w:val="00F877CF"/>
    <w:rsid w:val="00F9160D"/>
    <w:rsid w:val="00F944E0"/>
    <w:rsid w:val="00F9545A"/>
    <w:rsid w:val="00F95A4B"/>
    <w:rsid w:val="00F962F1"/>
    <w:rsid w:val="00FA1AB9"/>
    <w:rsid w:val="00FA51AE"/>
    <w:rsid w:val="00FA6F08"/>
    <w:rsid w:val="00FB61AE"/>
    <w:rsid w:val="00FB7CCF"/>
    <w:rsid w:val="00FC2CE6"/>
    <w:rsid w:val="00FC6DF3"/>
    <w:rsid w:val="00FD4C45"/>
    <w:rsid w:val="00FD4E7E"/>
    <w:rsid w:val="00FD67A2"/>
    <w:rsid w:val="00FD706E"/>
    <w:rsid w:val="00FE1BC4"/>
    <w:rsid w:val="00FE6CDA"/>
    <w:rsid w:val="00FF220B"/>
    <w:rsid w:val="06560E30"/>
    <w:rsid w:val="09B70E2F"/>
    <w:rsid w:val="0B9A4509"/>
    <w:rsid w:val="19E6561A"/>
    <w:rsid w:val="1CAC1CEC"/>
    <w:rsid w:val="20077B44"/>
    <w:rsid w:val="243D6779"/>
    <w:rsid w:val="34C12900"/>
    <w:rsid w:val="372D752B"/>
    <w:rsid w:val="3E5E6406"/>
    <w:rsid w:val="3F277E00"/>
    <w:rsid w:val="41325956"/>
    <w:rsid w:val="41B95160"/>
    <w:rsid w:val="453D1672"/>
    <w:rsid w:val="463D1E9A"/>
    <w:rsid w:val="46A64DE2"/>
    <w:rsid w:val="49DF3D8A"/>
    <w:rsid w:val="4C020241"/>
    <w:rsid w:val="509A39C8"/>
    <w:rsid w:val="54BA2081"/>
    <w:rsid w:val="57ED4877"/>
    <w:rsid w:val="5B822397"/>
    <w:rsid w:val="5D5B1DAA"/>
    <w:rsid w:val="5E56485D"/>
    <w:rsid w:val="629437C4"/>
    <w:rsid w:val="6B8502C0"/>
    <w:rsid w:val="6CAA1768"/>
    <w:rsid w:val="7200248D"/>
    <w:rsid w:val="77B3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Plain Text"/>
    <w:basedOn w:val="1"/>
    <w:link w:val="15"/>
    <w:qFormat/>
    <w:uiPriority w:val="0"/>
    <w:rPr>
      <w:rFonts w:ascii="宋体" w:hAnsi="Courier New"/>
      <w:kern w:val="0"/>
      <w:sz w:val="20"/>
      <w:szCs w:val="21"/>
    </w:rPr>
  </w:style>
  <w:style w:type="paragraph" w:styleId="4">
    <w:name w:val="Balloon Text"/>
    <w:basedOn w:val="1"/>
    <w:link w:val="19"/>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4"/>
    <w:qFormat/>
    <w:uiPriority w:val="0"/>
    <w:rPr>
      <w:b/>
      <w:bCs/>
    </w:r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qFormat/>
    <w:uiPriority w:val="0"/>
    <w:rPr>
      <w:sz w:val="21"/>
      <w:szCs w:val="21"/>
    </w:rPr>
  </w:style>
  <w:style w:type="character" w:customStyle="1" w:styleId="14">
    <w:name w:val="批注主题 Char"/>
    <w:link w:val="8"/>
    <w:qFormat/>
    <w:uiPriority w:val="0"/>
    <w:rPr>
      <w:b/>
      <w:bCs/>
      <w:kern w:val="2"/>
      <w:sz w:val="21"/>
      <w:szCs w:val="24"/>
    </w:rPr>
  </w:style>
  <w:style w:type="character" w:customStyle="1" w:styleId="15">
    <w:name w:val="纯文本 Char"/>
    <w:link w:val="3"/>
    <w:qFormat/>
    <w:uiPriority w:val="0"/>
    <w:rPr>
      <w:rFonts w:ascii="宋体" w:hAnsi="Courier New"/>
      <w:szCs w:val="21"/>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99"/>
    <w:rPr>
      <w:kern w:val="2"/>
      <w:sz w:val="18"/>
      <w:szCs w:val="18"/>
    </w:rPr>
  </w:style>
  <w:style w:type="character" w:customStyle="1" w:styleId="18">
    <w:name w:val="纯文本 Char1"/>
    <w:qFormat/>
    <w:uiPriority w:val="0"/>
    <w:rPr>
      <w:rFonts w:ascii="宋体" w:hAnsi="Courier New" w:cs="Courier New"/>
      <w:kern w:val="2"/>
      <w:sz w:val="21"/>
      <w:szCs w:val="21"/>
    </w:rPr>
  </w:style>
  <w:style w:type="character" w:customStyle="1" w:styleId="19">
    <w:name w:val="批注框文本 Char"/>
    <w:link w:val="4"/>
    <w:qFormat/>
    <w:uiPriority w:val="0"/>
    <w:rPr>
      <w:kern w:val="2"/>
      <w:sz w:val="18"/>
      <w:szCs w:val="18"/>
    </w:rPr>
  </w:style>
  <w:style w:type="character" w:customStyle="1" w:styleId="20">
    <w:name w:val="批注文字 Char"/>
    <w:link w:val="2"/>
    <w:qFormat/>
    <w:uiPriority w:val="0"/>
    <w:rPr>
      <w:kern w:val="2"/>
      <w:sz w:val="21"/>
      <w:szCs w:val="24"/>
    </w:rPr>
  </w:style>
  <w:style w:type="paragraph" w:customStyle="1" w:styleId="21">
    <w:name w:val="彩色列表 - 强调文字颜色 11"/>
    <w:basedOn w:val="1"/>
    <w:qFormat/>
    <w:uiPriority w:val="34"/>
    <w:pPr>
      <w:ind w:firstLine="420" w:firstLineChars="200"/>
    </w:p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18</Pages>
  <Words>1138</Words>
  <Characters>6493</Characters>
  <Lines>54</Lines>
  <Paragraphs>15</Paragraphs>
  <TotalTime>90</TotalTime>
  <ScaleCrop>false</ScaleCrop>
  <LinksUpToDate>false</LinksUpToDate>
  <CharactersWithSpaces>7616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2023-05-29T07:10:00Z</dcterms:created>
  <dc:creator>微软用户</dc:creator>
  <cp:lastModifiedBy>拾玖</cp:lastModifiedBy>
  <dcterms:modified xsi:type="dcterms:W3CDTF">2023-12-15T09:03:14Z</dcterms:modified>
  <dc:title>“2012年全国职业院校技能大赛”高职组</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FA04ABBECBC948A79E10B4A957E8F462_13</vt:lpwstr>
  </property>
</Properties>
</file>